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3D2CA" w14:textId="77777777" w:rsidR="006A50C5" w:rsidRPr="0091701B" w:rsidRDefault="006A50C5" w:rsidP="006A50C5">
      <w:pPr>
        <w:spacing w:after="0" w:line="24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91701B">
        <w:rPr>
          <w:rFonts w:ascii="Bookman Old Style" w:hAnsi="Bookman Old Style"/>
          <w:noProof/>
          <w:lang w:eastAsia="it-IT"/>
        </w:rPr>
        <w:drawing>
          <wp:inline distT="0" distB="0" distL="0" distR="0" wp14:anchorId="6E4C11BB" wp14:editId="775127AB">
            <wp:extent cx="619125" cy="923925"/>
            <wp:effectExtent l="0" t="0" r="9525" b="9525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Immagine che contiene disegnand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A74EA" w14:textId="77777777" w:rsidR="006A50C5" w:rsidRPr="0091701B" w:rsidRDefault="006A50C5" w:rsidP="006A50C5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2F9FC693" w14:textId="264DC60A" w:rsidR="006A50C5" w:rsidRPr="0091701B" w:rsidRDefault="006A50C5" w:rsidP="006A50C5">
      <w:pPr>
        <w:spacing w:after="0" w:line="252" w:lineRule="auto"/>
        <w:contextualSpacing/>
        <w:rPr>
          <w:rFonts w:ascii="Bookman Old Style" w:hAnsi="Bookman Old Style"/>
          <w:color w:val="FF0000"/>
        </w:rPr>
      </w:pPr>
    </w:p>
    <w:p w14:paraId="334D62CC" w14:textId="5D6FA822" w:rsidR="006A50C5" w:rsidRPr="0091701B" w:rsidRDefault="00EA6D9B" w:rsidP="006A5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ItalicMT"/>
          <w:b/>
          <w:bCs/>
        </w:rPr>
      </w:pPr>
      <w:r w:rsidRPr="0091701B">
        <w:rPr>
          <w:rFonts w:ascii="Bookman Old Style" w:hAnsi="Bookman Old Style"/>
          <w:b/>
          <w:bCs/>
        </w:rPr>
        <w:t xml:space="preserve">PRIMA NOTA </w:t>
      </w:r>
      <w:r w:rsidR="002E01A6">
        <w:rPr>
          <w:rFonts w:ascii="Bookman Old Style" w:hAnsi="Bookman Old Style"/>
          <w:b/>
          <w:bCs/>
        </w:rPr>
        <w:t>SUL</w:t>
      </w:r>
      <w:r w:rsidR="00EA76E6">
        <w:rPr>
          <w:rFonts w:ascii="Bookman Old Style" w:hAnsi="Bookman Old Style"/>
          <w:b/>
          <w:bCs/>
        </w:rPr>
        <w:t xml:space="preserve"> NUOVO </w:t>
      </w:r>
      <w:r w:rsidRPr="0091701B">
        <w:rPr>
          <w:rFonts w:ascii="Bookman Old Style" w:hAnsi="Bookman Old Style"/>
          <w:b/>
          <w:bCs/>
        </w:rPr>
        <w:t>CODICE APPALTI</w:t>
      </w:r>
    </w:p>
    <w:p w14:paraId="3AD4002E" w14:textId="77777777" w:rsidR="006A50C5" w:rsidRPr="0091701B" w:rsidRDefault="006A50C5" w:rsidP="006A50C5">
      <w:pPr>
        <w:spacing w:after="0" w:line="252" w:lineRule="auto"/>
        <w:contextualSpacing/>
        <w:jc w:val="center"/>
        <w:rPr>
          <w:rFonts w:ascii="Bookman Old Style" w:hAnsi="Bookman Old Style" w:cs="TimesNewRomanPS-BoldItalicMT"/>
          <w:b/>
          <w:bCs/>
        </w:rPr>
      </w:pPr>
    </w:p>
    <w:p w14:paraId="7217B6E8" w14:textId="77777777" w:rsidR="006A50C5" w:rsidRPr="0091701B" w:rsidRDefault="006A50C5" w:rsidP="006A50C5">
      <w:pPr>
        <w:spacing w:after="0" w:line="252" w:lineRule="auto"/>
        <w:contextualSpacing/>
        <w:jc w:val="center"/>
        <w:rPr>
          <w:rFonts w:ascii="Bookman Old Style" w:hAnsi="Bookman Old Style" w:cs="TimesNewRomanPS-BoldItalicMT"/>
          <w:b/>
          <w:bCs/>
        </w:rPr>
      </w:pPr>
    </w:p>
    <w:p w14:paraId="42633ABA" w14:textId="0980DF71" w:rsidR="00A46F2B" w:rsidRPr="0091701B" w:rsidRDefault="007B7275" w:rsidP="00C328D7">
      <w:pPr>
        <w:spacing w:after="0" w:line="360" w:lineRule="auto"/>
        <w:jc w:val="center"/>
        <w:rPr>
          <w:rFonts w:ascii="Bookman Old Style" w:hAnsi="Bookman Old Style" w:cs="Times New Roman"/>
          <w:b/>
          <w:bCs/>
        </w:rPr>
      </w:pPr>
      <w:r w:rsidRPr="0091701B">
        <w:rPr>
          <w:rFonts w:ascii="Bookman Old Style" w:hAnsi="Bookman Old Style" w:cs="Times New Roman"/>
          <w:b/>
          <w:bCs/>
        </w:rPr>
        <w:t>PREMESSA</w:t>
      </w:r>
    </w:p>
    <w:p w14:paraId="7C63AC03" w14:textId="77777777" w:rsidR="00C328D7" w:rsidRPr="0091701B" w:rsidRDefault="00C328D7" w:rsidP="00C328D7">
      <w:pPr>
        <w:spacing w:after="0" w:line="360" w:lineRule="auto"/>
        <w:jc w:val="center"/>
        <w:rPr>
          <w:rFonts w:ascii="Bookman Old Style" w:hAnsi="Bookman Old Style" w:cs="Times New Roman"/>
          <w:b/>
          <w:bCs/>
        </w:rPr>
      </w:pPr>
    </w:p>
    <w:p w14:paraId="7A7C858F" w14:textId="4BA6818C" w:rsidR="00A66253" w:rsidRPr="0091701B" w:rsidRDefault="00EA6D9B" w:rsidP="009F7C4E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Lo schema di decreto legislativo sul nuovo Codice Appalti</w:t>
      </w:r>
      <w:r w:rsidR="00C328D7" w:rsidRPr="0091701B">
        <w:rPr>
          <w:rFonts w:ascii="Bookman Old Style" w:hAnsi="Bookman Old Style" w:cs="Times New Roman"/>
        </w:rPr>
        <w:t xml:space="preserve">, attuativo dell’articolo 1 della legge 21 giugno 2022, n. 78 (legge delega), </w:t>
      </w:r>
      <w:r w:rsidRPr="0091701B">
        <w:rPr>
          <w:rFonts w:ascii="Bookman Old Style" w:hAnsi="Bookman Old Style" w:cs="Times New Roman"/>
        </w:rPr>
        <w:t>è stato approvato definiti</w:t>
      </w:r>
      <w:r w:rsidR="00283686" w:rsidRPr="0091701B">
        <w:rPr>
          <w:rFonts w:ascii="Bookman Old Style" w:hAnsi="Bookman Old Style" w:cs="Times New Roman"/>
        </w:rPr>
        <w:t xml:space="preserve">vamente dal Consiglio dei Ministri del 28 marzo 2023. </w:t>
      </w:r>
    </w:p>
    <w:p w14:paraId="646DF49A" w14:textId="0F3AD819" w:rsidR="00645B01" w:rsidRPr="0091701B" w:rsidRDefault="006C40F7" w:rsidP="009F7C4E">
      <w:pPr>
        <w:spacing w:after="0" w:line="360" w:lineRule="auto"/>
        <w:jc w:val="both"/>
        <w:rPr>
          <w:rFonts w:ascii="Bookman Old Style" w:hAnsi="Bookman Old Style" w:cs="Times New Roman"/>
          <w:u w:val="single"/>
        </w:rPr>
      </w:pPr>
      <w:r w:rsidRPr="0091701B">
        <w:rPr>
          <w:rFonts w:ascii="Bookman Old Style" w:hAnsi="Bookman Old Style" w:cs="Times New Roman"/>
          <w:u w:val="single"/>
        </w:rPr>
        <w:t>È</w:t>
      </w:r>
      <w:r w:rsidR="00A66253" w:rsidRPr="0091701B">
        <w:rPr>
          <w:rFonts w:ascii="Bookman Old Style" w:hAnsi="Bookman Old Style" w:cs="Times New Roman"/>
          <w:u w:val="single"/>
        </w:rPr>
        <w:t xml:space="preserve"> importante segnalare </w:t>
      </w:r>
      <w:r w:rsidR="00AA3037" w:rsidRPr="0091701B">
        <w:rPr>
          <w:rFonts w:ascii="Bookman Old Style" w:hAnsi="Bookman Old Style" w:cs="Times New Roman"/>
          <w:u w:val="single"/>
        </w:rPr>
        <w:t xml:space="preserve">che </w:t>
      </w:r>
      <w:r w:rsidR="00A66253" w:rsidRPr="0091701B">
        <w:rPr>
          <w:rFonts w:ascii="Bookman Old Style" w:hAnsi="Bookman Old Style" w:cs="Times New Roman"/>
          <w:u w:val="single"/>
        </w:rPr>
        <w:t>l’entrata in vigore del nuovo Codice</w:t>
      </w:r>
      <w:r w:rsidR="00AA3037" w:rsidRPr="0091701B">
        <w:rPr>
          <w:rFonts w:ascii="Bookman Old Style" w:hAnsi="Bookman Old Style" w:cs="Times New Roman"/>
          <w:u w:val="single"/>
        </w:rPr>
        <w:t xml:space="preserve"> è di</w:t>
      </w:r>
      <w:r w:rsidR="0047569C" w:rsidRPr="0091701B">
        <w:rPr>
          <w:rFonts w:ascii="Bookman Old Style" w:hAnsi="Bookman Old Style" w:cs="Times New Roman"/>
          <w:u w:val="single"/>
        </w:rPr>
        <w:t>s</w:t>
      </w:r>
      <w:r w:rsidR="00AA3037" w:rsidRPr="0091701B">
        <w:rPr>
          <w:rFonts w:ascii="Bookman Old Style" w:hAnsi="Bookman Old Style" w:cs="Times New Roman"/>
          <w:u w:val="single"/>
        </w:rPr>
        <w:t xml:space="preserve">posta al </w:t>
      </w:r>
      <w:r w:rsidR="0063628F" w:rsidRPr="0091701B">
        <w:rPr>
          <w:rFonts w:ascii="Bookman Old Style" w:hAnsi="Bookman Old Style" w:cs="Times New Roman"/>
          <w:u w:val="single"/>
        </w:rPr>
        <w:t>1°</w:t>
      </w:r>
      <w:r w:rsidR="0063628F" w:rsidRPr="0091701B">
        <w:rPr>
          <w:rFonts w:ascii="Bookman Old Style" w:hAnsi="Bookman Old Style" w:cs="Times New Roman"/>
          <w:b/>
          <w:bCs/>
          <w:u w:val="single"/>
        </w:rPr>
        <w:t xml:space="preserve"> </w:t>
      </w:r>
      <w:r w:rsidR="00AA3037" w:rsidRPr="0091701B">
        <w:rPr>
          <w:rFonts w:ascii="Bookman Old Style" w:hAnsi="Bookman Old Style" w:cs="Times New Roman"/>
          <w:u w:val="single"/>
        </w:rPr>
        <w:t>aprile 2023</w:t>
      </w:r>
      <w:r w:rsidR="00A66253" w:rsidRPr="0091701B">
        <w:rPr>
          <w:rFonts w:ascii="Bookman Old Style" w:hAnsi="Bookman Old Style" w:cs="Times New Roman"/>
          <w:u w:val="single"/>
        </w:rPr>
        <w:t xml:space="preserve">, </w:t>
      </w:r>
      <w:r w:rsidR="00AA3037" w:rsidRPr="0091701B">
        <w:rPr>
          <w:rFonts w:ascii="Bookman Old Style" w:hAnsi="Bookman Old Style" w:cs="Times New Roman"/>
          <w:u w:val="single"/>
        </w:rPr>
        <w:t xml:space="preserve">ma le sue disposizioni trovano applicazione a decorrere dal </w:t>
      </w:r>
      <w:r w:rsidR="0063628F" w:rsidRPr="0091701B">
        <w:rPr>
          <w:rFonts w:ascii="Bookman Old Style" w:hAnsi="Bookman Old Style" w:cs="Times New Roman"/>
          <w:u w:val="single"/>
        </w:rPr>
        <w:t>1°</w:t>
      </w:r>
      <w:r w:rsidR="00AA3037" w:rsidRPr="0091701B">
        <w:rPr>
          <w:rFonts w:ascii="Bookman Old Style" w:hAnsi="Bookman Old Style" w:cs="Times New Roman"/>
          <w:u w:val="single"/>
        </w:rPr>
        <w:t xml:space="preserve"> luglio 2023</w:t>
      </w:r>
      <w:r w:rsidR="005040C9" w:rsidRPr="0091701B">
        <w:rPr>
          <w:rFonts w:ascii="Bookman Old Style" w:hAnsi="Bookman Old Style" w:cs="Times New Roman"/>
          <w:u w:val="single"/>
        </w:rPr>
        <w:t>.</w:t>
      </w:r>
    </w:p>
    <w:p w14:paraId="665CDE3E" w14:textId="57004870" w:rsidR="00A66253" w:rsidRPr="0091701B" w:rsidRDefault="006C40F7" w:rsidP="009F7C4E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È</w:t>
      </w:r>
      <w:r w:rsidR="00645B01" w:rsidRPr="0091701B">
        <w:rPr>
          <w:rFonts w:ascii="Bookman Old Style" w:hAnsi="Bookman Old Style" w:cs="Times New Roman"/>
        </w:rPr>
        <w:t xml:space="preserve"> inoltre </w:t>
      </w:r>
      <w:r w:rsidR="00827ADE" w:rsidRPr="0091701B">
        <w:rPr>
          <w:rFonts w:ascii="Bookman Old Style" w:hAnsi="Bookman Old Style" w:cs="Times New Roman"/>
        </w:rPr>
        <w:t>previsto</w:t>
      </w:r>
      <w:r w:rsidR="00645B01" w:rsidRPr="0091701B">
        <w:rPr>
          <w:rFonts w:ascii="Bookman Old Style" w:hAnsi="Bookman Old Style" w:cs="Times New Roman"/>
        </w:rPr>
        <w:t xml:space="preserve"> un </w:t>
      </w:r>
      <w:r w:rsidR="00645B01" w:rsidRPr="0091701B">
        <w:rPr>
          <w:rFonts w:ascii="Bookman Old Style" w:hAnsi="Bookman Old Style" w:cs="Times New Roman"/>
          <w:b/>
          <w:bCs/>
        </w:rPr>
        <w:t>periodo transitorio</w:t>
      </w:r>
      <w:r w:rsidR="00645B01" w:rsidRPr="0091701B">
        <w:rPr>
          <w:rFonts w:ascii="Bookman Old Style" w:hAnsi="Bookman Old Style" w:cs="Times New Roman"/>
        </w:rPr>
        <w:t xml:space="preserve">, </w:t>
      </w:r>
      <w:r w:rsidR="00645B01" w:rsidRPr="0091701B">
        <w:rPr>
          <w:rFonts w:ascii="Bookman Old Style" w:hAnsi="Bookman Old Style" w:cs="Times New Roman"/>
          <w:b/>
          <w:bCs/>
        </w:rPr>
        <w:t>fino al 31 dicembre 2023</w:t>
      </w:r>
      <w:r w:rsidR="00645B01" w:rsidRPr="0091701B">
        <w:rPr>
          <w:rFonts w:ascii="Bookman Old Style" w:hAnsi="Bookman Old Style" w:cs="Times New Roman"/>
        </w:rPr>
        <w:t>, che prevede l’estensione della vigenza di alcune disposizioni del d. lgs 50/2016</w:t>
      </w:r>
      <w:r w:rsidR="00827ADE" w:rsidRPr="0091701B">
        <w:rPr>
          <w:rFonts w:ascii="Bookman Old Style" w:hAnsi="Bookman Old Style" w:cs="Times New Roman"/>
        </w:rPr>
        <w:t xml:space="preserve"> e dei decreti semplificazioni </w:t>
      </w:r>
      <w:r w:rsidR="00B21B50" w:rsidRPr="0091701B">
        <w:rPr>
          <w:rFonts w:ascii="Bookman Old Style" w:hAnsi="Bookman Old Style" w:cs="Times New Roman"/>
        </w:rPr>
        <w:t xml:space="preserve">(dl 76/2020) </w:t>
      </w:r>
      <w:r w:rsidR="00A46F2B" w:rsidRPr="0091701B">
        <w:rPr>
          <w:rFonts w:ascii="Bookman Old Style" w:hAnsi="Bookman Old Style" w:cs="Times New Roman"/>
        </w:rPr>
        <w:t>e semplificazioni bis</w:t>
      </w:r>
      <w:r w:rsidR="00B21B50" w:rsidRPr="0091701B">
        <w:rPr>
          <w:rFonts w:ascii="Bookman Old Style" w:hAnsi="Bookman Old Style" w:cs="Times New Roman"/>
        </w:rPr>
        <w:t xml:space="preserve"> (dl 77/2021)</w:t>
      </w:r>
      <w:r w:rsidR="00A66253" w:rsidRPr="0091701B">
        <w:rPr>
          <w:rFonts w:ascii="Bookman Old Style" w:hAnsi="Bookman Old Style" w:cs="Times New Roman"/>
        </w:rPr>
        <w:t>.</w:t>
      </w:r>
    </w:p>
    <w:p w14:paraId="4C393945" w14:textId="77777777" w:rsidR="005144B7" w:rsidRPr="0091701B" w:rsidRDefault="005144B7" w:rsidP="009F7C4E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3BF645C2" w14:textId="6257C707" w:rsidR="005144B7" w:rsidRPr="0091701B" w:rsidRDefault="00A8557C" w:rsidP="00A8557C">
      <w:pPr>
        <w:spacing w:after="0" w:line="360" w:lineRule="auto"/>
        <w:jc w:val="center"/>
        <w:rPr>
          <w:rFonts w:ascii="Bookman Old Style" w:hAnsi="Bookman Old Style" w:cs="Times New Roman"/>
          <w:b/>
          <w:bCs/>
        </w:rPr>
      </w:pPr>
      <w:r w:rsidRPr="0091701B">
        <w:rPr>
          <w:rFonts w:ascii="Bookman Old Style" w:hAnsi="Bookman Old Style" w:cs="Times New Roman"/>
          <w:b/>
          <w:bCs/>
        </w:rPr>
        <w:t>LE PRINCIPALI NOVITÀ DI INTERESSE</w:t>
      </w:r>
    </w:p>
    <w:p w14:paraId="015B1DA7" w14:textId="77777777" w:rsidR="00A8557C" w:rsidRPr="0091701B" w:rsidRDefault="00A8557C" w:rsidP="00A8557C">
      <w:pPr>
        <w:spacing w:after="0" w:line="360" w:lineRule="auto"/>
        <w:jc w:val="center"/>
        <w:rPr>
          <w:rFonts w:ascii="Bookman Old Style" w:hAnsi="Bookman Old Style" w:cs="Times New Roman"/>
          <w:b/>
          <w:bCs/>
        </w:rPr>
      </w:pPr>
    </w:p>
    <w:p w14:paraId="2ED17E44" w14:textId="291BA939" w:rsidR="005144B7" w:rsidRPr="0091701B" w:rsidRDefault="005144B7" w:rsidP="00D02171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  <w:b/>
          <w:bCs/>
          <w:i/>
          <w:iCs/>
          <w:color w:val="1F3864" w:themeColor="accent1" w:themeShade="80"/>
        </w:rPr>
        <w:t xml:space="preserve">Responsabile </w:t>
      </w:r>
      <w:r w:rsidRPr="00AD6A7D">
        <w:rPr>
          <w:rFonts w:ascii="Bookman Old Style" w:hAnsi="Bookman Old Style" w:cs="Times New Roman"/>
          <w:b/>
          <w:bCs/>
          <w:i/>
          <w:iCs/>
          <w:color w:val="1F3864" w:themeColor="accent1" w:themeShade="80"/>
        </w:rPr>
        <w:t>Unico</w:t>
      </w:r>
      <w:r w:rsidRPr="0091701B">
        <w:rPr>
          <w:rFonts w:ascii="Bookman Old Style" w:hAnsi="Bookman Old Style" w:cs="Times New Roman"/>
          <w:b/>
          <w:bCs/>
          <w:i/>
          <w:iCs/>
          <w:color w:val="1F3864" w:themeColor="accent1" w:themeShade="80"/>
        </w:rPr>
        <w:t xml:space="preserve"> di Progetto</w:t>
      </w:r>
      <w:r w:rsidR="00A8557C" w:rsidRPr="00AD6A7D">
        <w:rPr>
          <w:rFonts w:ascii="Bookman Old Style" w:hAnsi="Bookman Old Style" w:cs="Times New Roman"/>
          <w:b/>
          <w:bCs/>
          <w:i/>
          <w:iCs/>
          <w:color w:val="1F3864" w:themeColor="accent1" w:themeShade="80"/>
        </w:rPr>
        <w:t>:</w:t>
      </w:r>
      <w:r w:rsidR="00A8557C" w:rsidRPr="0091701B">
        <w:rPr>
          <w:rFonts w:ascii="Bookman Old Style" w:hAnsi="Bookman Old Style" w:cs="Times New Roman"/>
        </w:rPr>
        <w:t xml:space="preserve"> </w:t>
      </w:r>
      <w:r w:rsidR="008A3F78" w:rsidRPr="0091701B">
        <w:rPr>
          <w:rFonts w:ascii="Bookman Old Style" w:hAnsi="Bookman Old Style" w:cs="Times New Roman"/>
        </w:rPr>
        <w:t xml:space="preserve">il RUP diventa </w:t>
      </w:r>
      <w:r w:rsidR="00D73341" w:rsidRPr="0091701B">
        <w:rPr>
          <w:rFonts w:ascii="Bookman Old Style" w:hAnsi="Bookman Old Style" w:cs="Times New Roman"/>
        </w:rPr>
        <w:t xml:space="preserve">il responsabile </w:t>
      </w:r>
      <w:r w:rsidR="004A01EB" w:rsidRPr="0091701B">
        <w:rPr>
          <w:rFonts w:ascii="Bookman Old Style" w:hAnsi="Bookman Old Style" w:cs="Times New Roman"/>
        </w:rPr>
        <w:t xml:space="preserve">unico del progetto per le fasi di programmazione, progettazione, affidamento e per l’esecuzione di ciascuna procedura soggetta al codice. </w:t>
      </w:r>
      <w:r w:rsidR="001B02B7" w:rsidRPr="0091701B">
        <w:rPr>
          <w:rFonts w:ascii="Bookman Old Style" w:hAnsi="Bookman Old Style" w:cs="Times New Roman"/>
        </w:rPr>
        <w:t>È</w:t>
      </w:r>
      <w:r w:rsidR="004A01EB" w:rsidRPr="0091701B">
        <w:rPr>
          <w:rFonts w:ascii="Bookman Old Style" w:hAnsi="Bookman Old Style" w:cs="Times New Roman"/>
        </w:rPr>
        <w:t xml:space="preserve"> </w:t>
      </w:r>
      <w:r w:rsidRPr="0091701B">
        <w:rPr>
          <w:rFonts w:ascii="Bookman Old Style" w:hAnsi="Bookman Old Style" w:cs="Times New Roman"/>
        </w:rPr>
        <w:t xml:space="preserve">previsto che possa essere </w:t>
      </w:r>
      <w:r w:rsidR="00AB7A69">
        <w:rPr>
          <w:rFonts w:ascii="Bookman Old Style" w:hAnsi="Bookman Old Style" w:cs="Times New Roman"/>
        </w:rPr>
        <w:t xml:space="preserve">nominato </w:t>
      </w:r>
      <w:r w:rsidR="008E4A37" w:rsidRPr="0091701B">
        <w:rPr>
          <w:rFonts w:ascii="Bookman Old Style" w:hAnsi="Bookman Old Style" w:cs="Times New Roman"/>
          <w:b/>
          <w:bCs/>
        </w:rPr>
        <w:t>tra i dipendenti assunti anche a tempo determinato</w:t>
      </w:r>
      <w:r w:rsidR="008E4A37" w:rsidRPr="0091701B">
        <w:rPr>
          <w:rFonts w:ascii="Bookman Old Style" w:hAnsi="Bookman Old Style" w:cs="Times New Roman"/>
        </w:rPr>
        <w:t xml:space="preserve"> della stazione appaltante o dell’ente concedente</w:t>
      </w:r>
      <w:r w:rsidR="00263064">
        <w:rPr>
          <w:rFonts w:ascii="Bookman Old Style" w:hAnsi="Bookman Old Style" w:cs="Times New Roman"/>
        </w:rPr>
        <w:t>;</w:t>
      </w:r>
    </w:p>
    <w:p w14:paraId="4F024EC3" w14:textId="77777777" w:rsidR="00CE4D6C" w:rsidRPr="0091701B" w:rsidRDefault="00CE4D6C" w:rsidP="00CE4D6C">
      <w:pPr>
        <w:pStyle w:val="Paragrafoelenco"/>
        <w:spacing w:after="0" w:line="360" w:lineRule="auto"/>
        <w:jc w:val="both"/>
        <w:rPr>
          <w:rFonts w:ascii="Bookman Old Style" w:hAnsi="Bookman Old Style" w:cs="Times New Roman"/>
        </w:rPr>
      </w:pPr>
    </w:p>
    <w:p w14:paraId="45024417" w14:textId="5877B829" w:rsidR="00CE4D6C" w:rsidRPr="0091701B" w:rsidRDefault="00CE4D6C" w:rsidP="00F82D57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  <w:b/>
          <w:bCs/>
          <w:i/>
          <w:iCs/>
          <w:color w:val="1F3864" w:themeColor="accent1" w:themeShade="80"/>
        </w:rPr>
        <w:t>Subappalto</w:t>
      </w:r>
      <w:r w:rsidR="005B11C8" w:rsidRPr="0091701B">
        <w:rPr>
          <w:rFonts w:ascii="Bookman Old Style" w:hAnsi="Bookman Old Style" w:cs="Times New Roman"/>
          <w:b/>
          <w:bCs/>
          <w:i/>
          <w:iCs/>
          <w:color w:val="1F3864" w:themeColor="accent1" w:themeShade="80"/>
        </w:rPr>
        <w:t xml:space="preserve">: </w:t>
      </w:r>
      <w:r w:rsidR="00132514">
        <w:rPr>
          <w:rFonts w:ascii="Bookman Old Style" w:hAnsi="Bookman Old Style" w:cs="Times New Roman"/>
        </w:rPr>
        <w:t>n</w:t>
      </w:r>
      <w:r w:rsidR="00132514" w:rsidRPr="00132514">
        <w:rPr>
          <w:rFonts w:ascii="Bookman Old Style" w:hAnsi="Bookman Old Style" w:cs="Times New Roman"/>
        </w:rPr>
        <w:t xml:space="preserve">el recepire i rilievi della Corte di Giustizia e dalla Commissione UE, è consentito il subappalto </w:t>
      </w:r>
      <w:r w:rsidR="00AB7A69">
        <w:rPr>
          <w:rFonts w:ascii="Bookman Old Style" w:hAnsi="Bookman Old Style" w:cs="Times New Roman"/>
        </w:rPr>
        <w:t xml:space="preserve">senza limiti percentuali </w:t>
      </w:r>
      <w:r w:rsidR="00132514" w:rsidRPr="00132514">
        <w:rPr>
          <w:rFonts w:ascii="Bookman Old Style" w:hAnsi="Bookman Old Style" w:cs="Times New Roman"/>
        </w:rPr>
        <w:t xml:space="preserve">e il </w:t>
      </w:r>
      <w:r w:rsidR="00AB7A69">
        <w:rPr>
          <w:rFonts w:ascii="Bookman Old Style" w:hAnsi="Bookman Old Style" w:cs="Times New Roman"/>
        </w:rPr>
        <w:t>c</w:t>
      </w:r>
      <w:r w:rsidR="002D491C">
        <w:rPr>
          <w:rFonts w:ascii="Bookman Old Style" w:hAnsi="Bookman Old Style" w:cs="Times New Roman"/>
        </w:rPr>
        <w:t>.</w:t>
      </w:r>
      <w:r w:rsidR="00AB7A69">
        <w:rPr>
          <w:rFonts w:ascii="Bookman Old Style" w:hAnsi="Bookman Old Style" w:cs="Times New Roman"/>
        </w:rPr>
        <w:t>d</w:t>
      </w:r>
      <w:r w:rsidR="002D491C">
        <w:rPr>
          <w:rFonts w:ascii="Bookman Old Style" w:hAnsi="Bookman Old Style" w:cs="Times New Roman"/>
        </w:rPr>
        <w:t>.</w:t>
      </w:r>
      <w:r w:rsidR="00AB7A69">
        <w:rPr>
          <w:rFonts w:ascii="Bookman Old Style" w:hAnsi="Bookman Old Style" w:cs="Times New Roman"/>
        </w:rPr>
        <w:t xml:space="preserve"> </w:t>
      </w:r>
      <w:r w:rsidR="00132514" w:rsidRPr="00132514">
        <w:rPr>
          <w:rFonts w:ascii="Bookman Old Style" w:hAnsi="Bookman Old Style" w:cs="Times New Roman"/>
        </w:rPr>
        <w:t xml:space="preserve">subappalto a cascata, </w:t>
      </w:r>
      <w:r w:rsidR="002D491C" w:rsidRPr="00132514">
        <w:rPr>
          <w:rFonts w:ascii="Bookman Old Style" w:hAnsi="Bookman Old Style" w:cs="Times New Roman"/>
        </w:rPr>
        <w:t>permettendo</w:t>
      </w:r>
      <w:r w:rsidR="00132514" w:rsidRPr="00132514">
        <w:rPr>
          <w:rFonts w:ascii="Bookman Old Style" w:hAnsi="Bookman Old Style" w:cs="Times New Roman"/>
        </w:rPr>
        <w:t xml:space="preserve"> tuttavia ai funzionari pubblici di limitare tali possibilità, proprio in ossequio ai principi di fiducia e risultato, inserendo nel documento di gara motivazioni specifiche</w:t>
      </w:r>
      <w:r w:rsidR="00263064">
        <w:rPr>
          <w:rFonts w:ascii="Bookman Old Style" w:hAnsi="Bookman Old Style" w:cs="Times New Roman"/>
        </w:rPr>
        <w:t>;</w:t>
      </w:r>
    </w:p>
    <w:p w14:paraId="071DA3C6" w14:textId="77777777" w:rsidR="00107A36" w:rsidRPr="0091701B" w:rsidRDefault="00107A36" w:rsidP="00107A36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307B3113" w14:textId="627E28C5" w:rsidR="008E4A37" w:rsidRDefault="00AE4B72" w:rsidP="004A01EB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  <w:b/>
          <w:bCs/>
          <w:i/>
          <w:iCs/>
          <w:color w:val="1F3864" w:themeColor="accent1" w:themeShade="80"/>
        </w:rPr>
        <w:t>Conflitt</w:t>
      </w:r>
      <w:r w:rsidR="005C5E89">
        <w:rPr>
          <w:rFonts w:ascii="Bookman Old Style" w:hAnsi="Bookman Old Style" w:cs="Times New Roman"/>
          <w:b/>
          <w:bCs/>
          <w:i/>
          <w:iCs/>
          <w:color w:val="1F3864" w:themeColor="accent1" w:themeShade="80"/>
        </w:rPr>
        <w:t>o</w:t>
      </w:r>
      <w:r w:rsidRPr="0091701B">
        <w:rPr>
          <w:rFonts w:ascii="Bookman Old Style" w:hAnsi="Bookman Old Style" w:cs="Times New Roman"/>
          <w:b/>
          <w:bCs/>
          <w:i/>
          <w:iCs/>
          <w:color w:val="1F3864" w:themeColor="accent1" w:themeShade="80"/>
        </w:rPr>
        <w:t xml:space="preserve"> di interesse:</w:t>
      </w:r>
      <w:r w:rsidRPr="0091701B">
        <w:rPr>
          <w:rFonts w:ascii="Bookman Old Style" w:hAnsi="Bookman Old Style" w:cs="Times New Roman"/>
        </w:rPr>
        <w:t xml:space="preserve"> </w:t>
      </w:r>
      <w:r w:rsidR="00D1494A" w:rsidRPr="0091701B">
        <w:rPr>
          <w:rFonts w:ascii="Bookman Old Style" w:hAnsi="Bookman Old Style" w:cs="Times New Roman"/>
        </w:rPr>
        <w:t>l</w:t>
      </w:r>
      <w:r w:rsidRPr="0091701B">
        <w:rPr>
          <w:rFonts w:ascii="Bookman Old Style" w:hAnsi="Bookman Old Style" w:cs="Times New Roman"/>
        </w:rPr>
        <w:t>e stazioni appaltanti adottano misure adeguate per individuare, prevenire e risolvere ogni ipotesi di conflitto di interesse nello svolgimento delle procedure di aggiudicazione ed esecuzione degli appalti e delle concessioni</w:t>
      </w:r>
      <w:r w:rsidR="00263064">
        <w:rPr>
          <w:rFonts w:ascii="Bookman Old Style" w:hAnsi="Bookman Old Style" w:cs="Times New Roman"/>
        </w:rPr>
        <w:t>;</w:t>
      </w:r>
    </w:p>
    <w:p w14:paraId="1CEC3380" w14:textId="77777777" w:rsidR="00044FA6" w:rsidRPr="00044FA6" w:rsidRDefault="00044FA6" w:rsidP="00044FA6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418980DC" w14:textId="1DE6A526" w:rsidR="00550B35" w:rsidRPr="0091701B" w:rsidRDefault="004236B3" w:rsidP="00D1494A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/>
          <w:b/>
          <w:bCs/>
          <w:i/>
          <w:iCs/>
          <w:color w:val="1F3864"/>
        </w:rPr>
        <w:t>Opere di interesse locale o statale</w:t>
      </w:r>
      <w:r w:rsidR="007E1D23" w:rsidRPr="0091701B">
        <w:rPr>
          <w:rFonts w:ascii="Bookman Old Style" w:hAnsi="Bookman Old Style" w:cs="Times New Roman"/>
          <w:b/>
          <w:bCs/>
          <w:i/>
          <w:iCs/>
          <w:color w:val="1F3864" w:themeColor="accent1" w:themeShade="80"/>
        </w:rPr>
        <w:t>:</w:t>
      </w:r>
      <w:r w:rsidR="007E1D23" w:rsidRPr="0091701B">
        <w:rPr>
          <w:rFonts w:ascii="Bookman Old Style" w:hAnsi="Bookman Old Style" w:cs="Times New Roman"/>
        </w:rPr>
        <w:t xml:space="preserve"> </w:t>
      </w:r>
      <w:r w:rsidR="00145E65" w:rsidRPr="0091701B">
        <w:rPr>
          <w:rFonts w:ascii="Bookman Old Style" w:hAnsi="Bookman Old Style" w:cs="Times New Roman"/>
        </w:rPr>
        <w:t>nel caso di opere pubbliche di interesse locale o di interesse statale per le quali non è richiesto il parere del CSLP o del Provveditorato interregionale per le opere pubbliche, la stazione appaltante o l’ente concedente trasmette il progetto</w:t>
      </w:r>
      <w:r w:rsidR="0058358E" w:rsidRPr="0091701B">
        <w:rPr>
          <w:rFonts w:ascii="Bookman Old Style" w:hAnsi="Bookman Old Style" w:cs="Times New Roman"/>
        </w:rPr>
        <w:t xml:space="preserve"> alle autorità competenti per la VI</w:t>
      </w:r>
      <w:r w:rsidR="00263064">
        <w:rPr>
          <w:rFonts w:ascii="Bookman Old Style" w:hAnsi="Bookman Old Style" w:cs="Times New Roman"/>
        </w:rPr>
        <w:t xml:space="preserve">A; </w:t>
      </w:r>
    </w:p>
    <w:p w14:paraId="6DC5D2DA" w14:textId="77777777" w:rsidR="00D1494A" w:rsidRPr="0091701B" w:rsidRDefault="00D1494A" w:rsidP="00D1494A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144B6BD9" w14:textId="176604FB" w:rsidR="00D022F9" w:rsidRPr="0091701B" w:rsidRDefault="00D022F9" w:rsidP="00907C1A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  <w:b/>
          <w:bCs/>
          <w:i/>
          <w:iCs/>
          <w:color w:val="1F3864" w:themeColor="accent1" w:themeShade="80"/>
        </w:rPr>
        <w:t>Progettazione in materia di lavori pubblici:</w:t>
      </w:r>
      <w:r w:rsidRPr="0091701B">
        <w:rPr>
          <w:rFonts w:ascii="Bookman Old Style" w:hAnsi="Bookman Old Style" w:cs="Times New Roman"/>
          <w:i/>
          <w:iCs/>
        </w:rPr>
        <w:t xml:space="preserve"> </w:t>
      </w:r>
      <w:r w:rsidR="00907C1A" w:rsidRPr="0091701B">
        <w:rPr>
          <w:rFonts w:ascii="Bookman Old Style" w:hAnsi="Bookman Old Style" w:cs="Times New Roman"/>
        </w:rPr>
        <w:t>s</w:t>
      </w:r>
      <w:r w:rsidR="00AB7A69">
        <w:rPr>
          <w:rFonts w:ascii="Bookman Old Style" w:hAnsi="Bookman Old Style" w:cs="Times New Roman"/>
        </w:rPr>
        <w:t>ono stati s</w:t>
      </w:r>
      <w:r w:rsidR="00907C1A" w:rsidRPr="0091701B">
        <w:rPr>
          <w:rFonts w:ascii="Bookman Old Style" w:hAnsi="Bookman Old Style" w:cs="Times New Roman"/>
        </w:rPr>
        <w:t xml:space="preserve">emplificati i livelli di progettazione che diventano due: </w:t>
      </w:r>
      <w:r w:rsidRPr="0091701B">
        <w:rPr>
          <w:rFonts w:ascii="Bookman Old Style" w:hAnsi="Bookman Old Style" w:cs="Times New Roman"/>
        </w:rPr>
        <w:t>progetto di fattibilità tecnico-economica e progetto esecutivo</w:t>
      </w:r>
      <w:r w:rsidR="00263064">
        <w:rPr>
          <w:rFonts w:ascii="Bookman Old Style" w:hAnsi="Bookman Old Style" w:cs="Times New Roman"/>
        </w:rPr>
        <w:t>;</w:t>
      </w:r>
    </w:p>
    <w:p w14:paraId="5A54DCC2" w14:textId="77777777" w:rsidR="00780D04" w:rsidRPr="0091701B" w:rsidRDefault="00780D04" w:rsidP="00780D04">
      <w:pPr>
        <w:pStyle w:val="Paragrafoelenco"/>
        <w:spacing w:after="0" w:line="360" w:lineRule="auto"/>
        <w:jc w:val="both"/>
        <w:rPr>
          <w:rFonts w:ascii="Bookman Old Style" w:hAnsi="Bookman Old Style" w:cs="Times New Roman"/>
        </w:rPr>
      </w:pPr>
    </w:p>
    <w:p w14:paraId="73A6CB7E" w14:textId="620291BE" w:rsidR="00167922" w:rsidRPr="0091701B" w:rsidRDefault="00167922" w:rsidP="00780D04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  <w:b/>
          <w:bCs/>
          <w:i/>
          <w:iCs/>
          <w:color w:val="1F3864" w:themeColor="accent1" w:themeShade="80"/>
        </w:rPr>
        <w:t>Appalto integrato:</w:t>
      </w:r>
      <w:r w:rsidRPr="0091701B">
        <w:rPr>
          <w:rFonts w:ascii="Bookman Old Style" w:hAnsi="Bookman Old Style" w:cs="Times New Roman"/>
        </w:rPr>
        <w:t xml:space="preserve"> </w:t>
      </w:r>
      <w:r w:rsidR="00610FA5" w:rsidRPr="0091701B">
        <w:rPr>
          <w:rFonts w:ascii="Bookman Old Style" w:hAnsi="Bookman Old Style" w:cs="Times New Roman"/>
        </w:rPr>
        <w:t xml:space="preserve">è prevista </w:t>
      </w:r>
      <w:r w:rsidRPr="0091701B">
        <w:rPr>
          <w:rFonts w:ascii="Bookman Old Style" w:hAnsi="Bookman Old Style" w:cs="Times New Roman"/>
        </w:rPr>
        <w:t>la possibilità di affidare la progettazione esecutiva e l’esecuzione dei lavori sulla base di un progetto di fattibilità tecnico-economica approvato. Tale facoltà non può essere esercitata per gli appalti di opere di manutenzione ordinaria.</w:t>
      </w:r>
      <w:r w:rsidR="00A659F9" w:rsidRPr="0091701B">
        <w:rPr>
          <w:rFonts w:ascii="Bookman Old Style" w:hAnsi="Bookman Old Style" w:cs="Times New Roman"/>
        </w:rPr>
        <w:t xml:space="preserve"> </w:t>
      </w:r>
      <w:r w:rsidR="00610FA5" w:rsidRPr="0091701B">
        <w:rPr>
          <w:rFonts w:ascii="Bookman Old Style" w:hAnsi="Bookman Old Style" w:cs="Times New Roman"/>
        </w:rPr>
        <w:t xml:space="preserve">La norma è </w:t>
      </w:r>
      <w:r w:rsidR="00610FA5" w:rsidRPr="0091701B">
        <w:rPr>
          <w:rFonts w:ascii="Bookman Old Style" w:hAnsi="Bookman Old Style" w:cs="Times New Roman"/>
          <w:b/>
          <w:bCs/>
        </w:rPr>
        <w:t>e</w:t>
      </w:r>
      <w:r w:rsidR="00857BCE" w:rsidRPr="0091701B">
        <w:rPr>
          <w:rFonts w:ascii="Bookman Old Style" w:hAnsi="Bookman Old Style" w:cs="Times New Roman"/>
          <w:b/>
          <w:bCs/>
        </w:rPr>
        <w:t>fficace da</w:t>
      </w:r>
      <w:r w:rsidR="00A659F9" w:rsidRPr="0091701B">
        <w:rPr>
          <w:rFonts w:ascii="Bookman Old Style" w:hAnsi="Bookman Old Style" w:cs="Times New Roman"/>
          <w:b/>
          <w:bCs/>
        </w:rPr>
        <w:t xml:space="preserve">l </w:t>
      </w:r>
      <w:r w:rsidR="00D91C92" w:rsidRPr="0091701B">
        <w:rPr>
          <w:rFonts w:ascii="Bookman Old Style" w:hAnsi="Bookman Old Style" w:cs="Times New Roman"/>
          <w:b/>
          <w:bCs/>
        </w:rPr>
        <w:t>1° luglio</w:t>
      </w:r>
      <w:r w:rsidR="00A659F9" w:rsidRPr="0091701B">
        <w:rPr>
          <w:rFonts w:ascii="Bookman Old Style" w:hAnsi="Bookman Old Style" w:cs="Times New Roman"/>
          <w:b/>
          <w:bCs/>
        </w:rPr>
        <w:t xml:space="preserve"> 2023</w:t>
      </w:r>
      <w:r w:rsidR="00AB7A69">
        <w:rPr>
          <w:rFonts w:ascii="Bookman Old Style" w:hAnsi="Bookman Old Style" w:cs="Times New Roman"/>
          <w:b/>
          <w:bCs/>
        </w:rPr>
        <w:t xml:space="preserve"> e dunque in continuità con </w:t>
      </w:r>
      <w:r w:rsidR="00263064">
        <w:rPr>
          <w:rFonts w:ascii="Bookman Old Style" w:hAnsi="Bookman Old Style" w:cs="Times New Roman"/>
          <w:b/>
          <w:bCs/>
        </w:rPr>
        <w:t xml:space="preserve">la </w:t>
      </w:r>
      <w:r w:rsidR="00FD37E9">
        <w:rPr>
          <w:rFonts w:ascii="Bookman Old Style" w:hAnsi="Bookman Old Style" w:cs="Times New Roman"/>
          <w:b/>
          <w:bCs/>
        </w:rPr>
        <w:t xml:space="preserve">proroga al 30 giugno 2023 della sospensione del divieto di appalto integrato </w:t>
      </w:r>
      <w:r w:rsidR="00263064">
        <w:rPr>
          <w:rFonts w:ascii="Bookman Old Style" w:hAnsi="Bookman Old Style" w:cs="Times New Roman"/>
          <w:b/>
          <w:bCs/>
        </w:rPr>
        <w:t>(</w:t>
      </w:r>
      <w:r w:rsidR="00FD37E9">
        <w:rPr>
          <w:rFonts w:ascii="Bookman Old Style" w:hAnsi="Bookman Old Style" w:cs="Times New Roman"/>
          <w:b/>
          <w:bCs/>
        </w:rPr>
        <w:t>previsto dall’articolo 59 del decreto legislativo n. 50/2016</w:t>
      </w:r>
      <w:r w:rsidR="00263064">
        <w:rPr>
          <w:rFonts w:ascii="Bookman Old Style" w:hAnsi="Bookman Old Style" w:cs="Times New Roman"/>
          <w:b/>
          <w:bCs/>
        </w:rPr>
        <w:t>)</w:t>
      </w:r>
      <w:r w:rsidR="00BB5C14">
        <w:rPr>
          <w:rFonts w:ascii="Bookman Old Style" w:hAnsi="Bookman Old Style" w:cs="Times New Roman"/>
          <w:b/>
          <w:bCs/>
        </w:rPr>
        <w:t>,</w:t>
      </w:r>
      <w:r w:rsidR="00263064">
        <w:rPr>
          <w:rFonts w:ascii="Bookman Old Style" w:hAnsi="Bookman Old Style" w:cs="Times New Roman"/>
          <w:b/>
          <w:bCs/>
        </w:rPr>
        <w:t xml:space="preserve"> </w:t>
      </w:r>
      <w:r w:rsidR="007E141E">
        <w:rPr>
          <w:rFonts w:ascii="Bookman Old Style" w:hAnsi="Bookman Old Style" w:cs="Times New Roman"/>
          <w:b/>
          <w:bCs/>
        </w:rPr>
        <w:t xml:space="preserve">già disposta dal </w:t>
      </w:r>
      <w:r w:rsidR="00AB7A69">
        <w:rPr>
          <w:rFonts w:ascii="Bookman Old Style" w:hAnsi="Bookman Old Style" w:cs="Times New Roman"/>
          <w:b/>
          <w:bCs/>
        </w:rPr>
        <w:t>dl 77/2021</w:t>
      </w:r>
      <w:r w:rsidR="007E141E">
        <w:rPr>
          <w:rFonts w:ascii="Bookman Old Style" w:hAnsi="Bookman Old Style" w:cs="Times New Roman"/>
          <w:b/>
          <w:bCs/>
        </w:rPr>
        <w:t>.</w:t>
      </w:r>
    </w:p>
    <w:p w14:paraId="006C50CD" w14:textId="77777777" w:rsidR="00610FA5" w:rsidRPr="0091701B" w:rsidRDefault="00610FA5" w:rsidP="00610FA5">
      <w:pPr>
        <w:pStyle w:val="Paragrafoelenco"/>
        <w:spacing w:after="0" w:line="360" w:lineRule="auto"/>
        <w:jc w:val="both"/>
        <w:rPr>
          <w:rFonts w:ascii="Bookman Old Style" w:hAnsi="Bookman Old Style" w:cs="Times New Roman"/>
        </w:rPr>
      </w:pPr>
    </w:p>
    <w:p w14:paraId="271914A8" w14:textId="1EE132F1" w:rsidR="00B02BC0" w:rsidRDefault="008B362E" w:rsidP="00B02BC0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886670">
        <w:rPr>
          <w:rFonts w:ascii="Bookman Old Style" w:hAnsi="Bookman Old Style" w:cs="Times New Roman"/>
          <w:b/>
          <w:bCs/>
          <w:i/>
          <w:iCs/>
          <w:color w:val="1F3864" w:themeColor="accent1" w:themeShade="80"/>
        </w:rPr>
        <w:t xml:space="preserve">Affidamento diretto: </w:t>
      </w:r>
      <w:r w:rsidR="00C3121D" w:rsidRPr="00886670">
        <w:rPr>
          <w:rFonts w:ascii="Bookman Old Style" w:hAnsi="Bookman Old Style" w:cs="Times New Roman"/>
          <w:b/>
          <w:bCs/>
        </w:rPr>
        <w:t>p</w:t>
      </w:r>
      <w:r w:rsidRPr="00886670">
        <w:rPr>
          <w:rFonts w:ascii="Bookman Old Style" w:hAnsi="Bookman Old Style" w:cs="Times New Roman"/>
          <w:b/>
          <w:bCs/>
        </w:rPr>
        <w:t>er</w:t>
      </w:r>
      <w:r w:rsidRPr="00886670">
        <w:rPr>
          <w:rFonts w:ascii="Bookman Old Style" w:hAnsi="Bookman Old Style" w:cs="Times New Roman"/>
        </w:rPr>
        <w:t xml:space="preserve"> </w:t>
      </w:r>
      <w:r w:rsidRPr="00886670">
        <w:rPr>
          <w:rFonts w:ascii="Bookman Old Style" w:hAnsi="Bookman Old Style" w:cs="Times New Roman"/>
          <w:b/>
          <w:bCs/>
        </w:rPr>
        <w:t xml:space="preserve">servizi </w:t>
      </w:r>
      <w:r w:rsidR="00120F6D" w:rsidRPr="00886670">
        <w:rPr>
          <w:rFonts w:ascii="Bookman Old Style" w:hAnsi="Bookman Old Style" w:cs="Times New Roman"/>
          <w:b/>
          <w:bCs/>
        </w:rPr>
        <w:t>e forniture</w:t>
      </w:r>
      <w:r w:rsidR="00957E11" w:rsidRPr="00886670">
        <w:rPr>
          <w:rFonts w:ascii="Bookman Old Style" w:hAnsi="Bookman Old Style" w:cs="Times New Roman"/>
          <w:b/>
          <w:bCs/>
        </w:rPr>
        <w:t>,</w:t>
      </w:r>
      <w:r w:rsidR="00120F6D" w:rsidRPr="00886670">
        <w:rPr>
          <w:rFonts w:ascii="Bookman Old Style" w:hAnsi="Bookman Old Style" w:cs="Times New Roman"/>
        </w:rPr>
        <w:t xml:space="preserve"> ivi inclusi servizi di</w:t>
      </w:r>
      <w:r w:rsidR="00A043AF" w:rsidRPr="00886670">
        <w:rPr>
          <w:rFonts w:ascii="Bookman Old Style" w:hAnsi="Bookman Old Style" w:cs="Times New Roman"/>
        </w:rPr>
        <w:t xml:space="preserve"> ingegneria e architettura e</w:t>
      </w:r>
      <w:r w:rsidR="005C5E89">
        <w:rPr>
          <w:rFonts w:ascii="Bookman Old Style" w:hAnsi="Bookman Old Style" w:cs="Times New Roman"/>
        </w:rPr>
        <w:t xml:space="preserve"> l’</w:t>
      </w:r>
      <w:r w:rsidR="00A043AF" w:rsidRPr="00886670">
        <w:rPr>
          <w:rFonts w:ascii="Bookman Old Style" w:hAnsi="Bookman Old Style" w:cs="Times New Roman"/>
        </w:rPr>
        <w:t>attività di progettazione</w:t>
      </w:r>
      <w:r w:rsidR="00957E11" w:rsidRPr="00886670">
        <w:rPr>
          <w:rFonts w:ascii="Bookman Old Style" w:hAnsi="Bookman Old Style" w:cs="Times New Roman"/>
        </w:rPr>
        <w:t>,</w:t>
      </w:r>
      <w:r w:rsidR="00A043AF" w:rsidRPr="00886670">
        <w:rPr>
          <w:rFonts w:ascii="Bookman Old Style" w:hAnsi="Bookman Old Style" w:cs="Times New Roman"/>
        </w:rPr>
        <w:t xml:space="preserve"> </w:t>
      </w:r>
      <w:r w:rsidR="00780749" w:rsidRPr="00886670">
        <w:rPr>
          <w:rFonts w:ascii="Bookman Old Style" w:hAnsi="Bookman Old Style" w:cs="Times New Roman"/>
        </w:rPr>
        <w:t>la soglia</w:t>
      </w:r>
      <w:r w:rsidR="00733A97" w:rsidRPr="00886670">
        <w:rPr>
          <w:rFonts w:ascii="Bookman Old Style" w:hAnsi="Bookman Old Style" w:cs="Times New Roman"/>
        </w:rPr>
        <w:t xml:space="preserve"> </w:t>
      </w:r>
      <w:r w:rsidR="00382561">
        <w:rPr>
          <w:rFonts w:ascii="Bookman Old Style" w:hAnsi="Bookman Old Style" w:cs="Times New Roman"/>
        </w:rPr>
        <w:t xml:space="preserve">limite </w:t>
      </w:r>
      <w:r w:rsidR="00AB7A69" w:rsidRPr="00886670">
        <w:rPr>
          <w:rFonts w:ascii="Bookman Old Style" w:hAnsi="Bookman Old Style" w:cs="Times New Roman"/>
        </w:rPr>
        <w:t>è quella di import</w:t>
      </w:r>
      <w:r w:rsidR="00101AAC">
        <w:rPr>
          <w:rFonts w:ascii="Bookman Old Style" w:hAnsi="Bookman Old Style" w:cs="Times New Roman"/>
        </w:rPr>
        <w:t>o</w:t>
      </w:r>
      <w:r w:rsidR="00AB7A69" w:rsidRPr="00886670">
        <w:rPr>
          <w:rFonts w:ascii="Bookman Old Style" w:hAnsi="Bookman Old Style" w:cs="Times New Roman"/>
        </w:rPr>
        <w:t xml:space="preserve"> </w:t>
      </w:r>
      <w:r w:rsidR="00B5764D">
        <w:rPr>
          <w:rFonts w:ascii="Bookman Old Style" w:hAnsi="Bookman Old Style" w:cs="Times New Roman"/>
        </w:rPr>
        <w:t>inferior</w:t>
      </w:r>
      <w:r w:rsidR="00101AAC">
        <w:rPr>
          <w:rFonts w:ascii="Bookman Old Style" w:hAnsi="Bookman Old Style" w:cs="Times New Roman"/>
        </w:rPr>
        <w:t>e</w:t>
      </w:r>
      <w:r w:rsidR="00B5764D">
        <w:rPr>
          <w:rFonts w:ascii="Bookman Old Style" w:hAnsi="Bookman Old Style" w:cs="Times New Roman"/>
        </w:rPr>
        <w:t xml:space="preserve"> a </w:t>
      </w:r>
      <w:r w:rsidR="00780749" w:rsidRPr="00886670">
        <w:rPr>
          <w:rFonts w:ascii="Bookman Old Style" w:hAnsi="Bookman Old Style" w:cs="Times New Roman"/>
        </w:rPr>
        <w:t>140.000</w:t>
      </w:r>
      <w:r w:rsidR="00B5764D">
        <w:rPr>
          <w:rFonts w:ascii="Bookman Old Style" w:hAnsi="Bookman Old Style" w:cs="Times New Roman"/>
        </w:rPr>
        <w:t>.00</w:t>
      </w:r>
      <w:r w:rsidR="00780749" w:rsidRPr="00886670">
        <w:rPr>
          <w:rFonts w:ascii="Bookman Old Style" w:hAnsi="Bookman Old Style" w:cs="Times New Roman"/>
        </w:rPr>
        <w:t xml:space="preserve"> euro</w:t>
      </w:r>
      <w:r w:rsidR="00120F6D" w:rsidRPr="00886670">
        <w:rPr>
          <w:rFonts w:ascii="Bookman Old Style" w:hAnsi="Bookman Old Style" w:cs="Times New Roman"/>
        </w:rPr>
        <w:t xml:space="preserve">; </w:t>
      </w:r>
      <w:r w:rsidR="008F6424">
        <w:rPr>
          <w:rFonts w:ascii="Bookman Old Style" w:hAnsi="Bookman Old Style" w:cs="Times New Roman"/>
        </w:rPr>
        <w:t>negoziata senza band</w:t>
      </w:r>
      <w:r w:rsidR="003E2EA8">
        <w:rPr>
          <w:rFonts w:ascii="Bookman Old Style" w:hAnsi="Bookman Old Style" w:cs="Times New Roman"/>
        </w:rPr>
        <w:t>o</w:t>
      </w:r>
      <w:r w:rsidR="008F6424">
        <w:rPr>
          <w:rFonts w:ascii="Bookman Old Style" w:hAnsi="Bookman Old Style" w:cs="Times New Roman"/>
        </w:rPr>
        <w:t xml:space="preserve"> possibile</w:t>
      </w:r>
      <w:r w:rsidR="003E2EA8">
        <w:rPr>
          <w:rFonts w:ascii="Bookman Old Style" w:hAnsi="Bookman Old Style" w:cs="Times New Roman"/>
        </w:rPr>
        <w:t xml:space="preserve"> </w:t>
      </w:r>
      <w:r w:rsidR="008F6424">
        <w:rPr>
          <w:rFonts w:ascii="Bookman Old Style" w:hAnsi="Bookman Old Style" w:cs="Times New Roman"/>
        </w:rPr>
        <w:t xml:space="preserve">per importi da 140.000,00 fino a </w:t>
      </w:r>
      <w:r w:rsidR="00B91837">
        <w:rPr>
          <w:rFonts w:ascii="Bookman Old Style" w:hAnsi="Bookman Old Style" w:cs="Times New Roman"/>
        </w:rPr>
        <w:t>215.000,00</w:t>
      </w:r>
      <w:r w:rsidR="003E2EA8">
        <w:rPr>
          <w:rFonts w:ascii="Bookman Old Style" w:hAnsi="Bookman Old Style" w:cs="Times New Roman"/>
        </w:rPr>
        <w:t xml:space="preserve"> (750.000,00 per </w:t>
      </w:r>
      <w:r w:rsidR="003E2EA8" w:rsidRPr="005C5E89">
        <w:rPr>
          <w:rFonts w:ascii="Bookman Old Style" w:hAnsi="Bookman Old Style" w:cs="Times New Roman"/>
        </w:rPr>
        <w:t>appalti di servizi sociali e</w:t>
      </w:r>
      <w:r w:rsidR="003E2EA8">
        <w:t xml:space="preserve"> </w:t>
      </w:r>
      <w:r w:rsidR="003E2EA8" w:rsidRPr="005C5E89">
        <w:rPr>
          <w:rFonts w:ascii="Bookman Old Style" w:hAnsi="Bookman Old Style" w:cs="Times New Roman"/>
        </w:rPr>
        <w:t>assimilati)</w:t>
      </w:r>
      <w:r w:rsidR="009424CF" w:rsidRPr="005C5E89">
        <w:rPr>
          <w:rFonts w:ascii="Bookman Old Style" w:hAnsi="Bookman Old Style" w:cs="Times New Roman"/>
        </w:rPr>
        <w:t xml:space="preserve">, previa consultazione di almeno </w:t>
      </w:r>
      <w:r w:rsidR="001A3479">
        <w:rPr>
          <w:rFonts w:ascii="Bookman Old Style" w:hAnsi="Bookman Old Style" w:cs="Times New Roman"/>
        </w:rPr>
        <w:t>5</w:t>
      </w:r>
      <w:r w:rsidR="009424CF" w:rsidRPr="005C5E89">
        <w:rPr>
          <w:rFonts w:ascii="Bookman Old Style" w:hAnsi="Bookman Old Style" w:cs="Times New Roman"/>
        </w:rPr>
        <w:t xml:space="preserve"> operatori economici</w:t>
      </w:r>
      <w:r w:rsidR="00E943B9" w:rsidRPr="005C5E89">
        <w:rPr>
          <w:rFonts w:ascii="Bookman Old Style" w:hAnsi="Bookman Old Style" w:cs="Times New Roman"/>
        </w:rPr>
        <w:t xml:space="preserve">. </w:t>
      </w:r>
    </w:p>
    <w:p w14:paraId="3BA5962E" w14:textId="2A2B5A63" w:rsidR="00790440" w:rsidRDefault="00E943B9" w:rsidP="00B02BC0">
      <w:pPr>
        <w:pStyle w:val="Paragrafoelenco"/>
        <w:spacing w:after="0" w:line="360" w:lineRule="auto"/>
        <w:jc w:val="both"/>
        <w:rPr>
          <w:rFonts w:ascii="Bookman Old Style" w:hAnsi="Bookman Old Style" w:cs="Times New Roman"/>
          <w:u w:val="single"/>
        </w:rPr>
      </w:pPr>
      <w:r w:rsidRPr="00B02BC0">
        <w:rPr>
          <w:rFonts w:ascii="Bookman Old Style" w:hAnsi="Bookman Old Style" w:cs="Times New Roman"/>
        </w:rPr>
        <w:t>P</w:t>
      </w:r>
      <w:r w:rsidR="00120F6D" w:rsidRPr="00B02BC0">
        <w:rPr>
          <w:rFonts w:ascii="Bookman Old Style" w:hAnsi="Bookman Old Style" w:cs="Times New Roman"/>
        </w:rPr>
        <w:t xml:space="preserve">er i </w:t>
      </w:r>
      <w:r w:rsidR="00120F6D" w:rsidRPr="00B02BC0">
        <w:rPr>
          <w:rFonts w:ascii="Bookman Old Style" w:hAnsi="Bookman Old Style" w:cs="Times New Roman"/>
          <w:b/>
          <w:bCs/>
        </w:rPr>
        <w:t>lavori</w:t>
      </w:r>
      <w:r w:rsidR="006D1B5A" w:rsidRPr="006D1B5A">
        <w:rPr>
          <w:rFonts w:ascii="Bookman Old Style" w:hAnsi="Bookman Old Style" w:cs="Times New Roman"/>
        </w:rPr>
        <w:t>,</w:t>
      </w:r>
      <w:r w:rsidR="00120F6D" w:rsidRPr="00B02BC0">
        <w:rPr>
          <w:rFonts w:ascii="Bookman Old Style" w:hAnsi="Bookman Old Style" w:cs="Times New Roman"/>
        </w:rPr>
        <w:t xml:space="preserve"> </w:t>
      </w:r>
      <w:r w:rsidR="00AB7A69" w:rsidRPr="00B02BC0">
        <w:rPr>
          <w:rFonts w:ascii="Bookman Old Style" w:hAnsi="Bookman Old Style" w:cs="Times New Roman"/>
        </w:rPr>
        <w:t>invece</w:t>
      </w:r>
      <w:r w:rsidR="006D1B5A">
        <w:rPr>
          <w:rFonts w:ascii="Bookman Old Style" w:hAnsi="Bookman Old Style" w:cs="Times New Roman"/>
        </w:rPr>
        <w:t>,</w:t>
      </w:r>
      <w:r w:rsidR="00AB7A69" w:rsidRPr="00B02BC0">
        <w:rPr>
          <w:rFonts w:ascii="Bookman Old Style" w:hAnsi="Bookman Old Style" w:cs="Times New Roman"/>
        </w:rPr>
        <w:t xml:space="preserve"> la soglia per affidamenti diretti </w:t>
      </w:r>
      <w:r w:rsidR="00962304">
        <w:rPr>
          <w:rFonts w:ascii="Bookman Old Style" w:hAnsi="Bookman Old Style" w:cs="Times New Roman"/>
        </w:rPr>
        <w:t xml:space="preserve">è </w:t>
      </w:r>
      <w:r w:rsidR="00382561" w:rsidRPr="00B02BC0">
        <w:rPr>
          <w:rFonts w:ascii="Bookman Old Style" w:hAnsi="Bookman Old Style" w:cs="Times New Roman"/>
        </w:rPr>
        <w:t xml:space="preserve">fissata ad </w:t>
      </w:r>
      <w:r w:rsidR="00733A97" w:rsidRPr="00B02BC0">
        <w:rPr>
          <w:rFonts w:ascii="Bookman Old Style" w:hAnsi="Bookman Old Style" w:cs="Times New Roman"/>
        </w:rPr>
        <w:t>import</w:t>
      </w:r>
      <w:r w:rsidR="00B5764D" w:rsidRPr="00B02BC0">
        <w:rPr>
          <w:rFonts w:ascii="Bookman Old Style" w:hAnsi="Bookman Old Style" w:cs="Times New Roman"/>
        </w:rPr>
        <w:t>i</w:t>
      </w:r>
      <w:r w:rsidR="00733A97" w:rsidRPr="00B02BC0">
        <w:rPr>
          <w:rFonts w:ascii="Bookman Old Style" w:hAnsi="Bookman Old Style" w:cs="Times New Roman"/>
        </w:rPr>
        <w:t xml:space="preserve"> inferior</w:t>
      </w:r>
      <w:r w:rsidR="00B5764D" w:rsidRPr="00B02BC0">
        <w:rPr>
          <w:rFonts w:ascii="Bookman Old Style" w:hAnsi="Bookman Old Style" w:cs="Times New Roman"/>
        </w:rPr>
        <w:t>i</w:t>
      </w:r>
      <w:r w:rsidR="00733A97" w:rsidRPr="00B02BC0">
        <w:rPr>
          <w:rFonts w:ascii="Bookman Old Style" w:hAnsi="Bookman Old Style" w:cs="Times New Roman"/>
        </w:rPr>
        <w:t xml:space="preserve"> a 150.000</w:t>
      </w:r>
      <w:r w:rsidR="00B5764D" w:rsidRPr="00B02BC0">
        <w:rPr>
          <w:rFonts w:ascii="Bookman Old Style" w:hAnsi="Bookman Old Style" w:cs="Times New Roman"/>
        </w:rPr>
        <w:t>,00</w:t>
      </w:r>
      <w:r w:rsidR="00733A97" w:rsidRPr="00B02BC0">
        <w:rPr>
          <w:rFonts w:ascii="Bookman Old Style" w:hAnsi="Bookman Old Style" w:cs="Times New Roman"/>
        </w:rPr>
        <w:t xml:space="preserve"> euro</w:t>
      </w:r>
      <w:r w:rsidR="00957E11" w:rsidRPr="00B02BC0">
        <w:rPr>
          <w:rFonts w:ascii="Bookman Old Style" w:hAnsi="Bookman Old Style" w:cs="Times New Roman"/>
        </w:rPr>
        <w:t>.</w:t>
      </w:r>
      <w:r w:rsidR="00733A97" w:rsidRPr="00B02BC0">
        <w:rPr>
          <w:rFonts w:ascii="Bookman Old Style" w:hAnsi="Bookman Old Style" w:cs="Times New Roman"/>
        </w:rPr>
        <w:t xml:space="preserve"> </w:t>
      </w:r>
      <w:r w:rsidR="007D7FD7" w:rsidRPr="00B02BC0">
        <w:rPr>
          <w:rFonts w:ascii="Bookman Old Style" w:hAnsi="Bookman Old Style" w:cs="Times New Roman"/>
        </w:rPr>
        <w:t xml:space="preserve"> </w:t>
      </w:r>
      <w:r w:rsidR="00C65B92">
        <w:rPr>
          <w:rFonts w:ascii="Bookman Old Style" w:hAnsi="Bookman Old Style" w:cs="Times New Roman"/>
        </w:rPr>
        <w:t>È</w:t>
      </w:r>
      <w:r w:rsidR="007D7FD7" w:rsidRPr="00B02BC0">
        <w:rPr>
          <w:rFonts w:ascii="Bookman Old Style" w:hAnsi="Bookman Old Style" w:cs="Times New Roman"/>
        </w:rPr>
        <w:t xml:space="preserve"> prevista </w:t>
      </w:r>
      <w:r w:rsidR="008D693A" w:rsidRPr="00B02BC0">
        <w:rPr>
          <w:rFonts w:ascii="Bookman Old Style" w:hAnsi="Bookman Old Style" w:cs="Times New Roman"/>
        </w:rPr>
        <w:t>la procedura negoziata</w:t>
      </w:r>
      <w:r w:rsidR="0027043A">
        <w:rPr>
          <w:rFonts w:ascii="Bookman Old Style" w:hAnsi="Bookman Old Style" w:cs="Times New Roman"/>
        </w:rPr>
        <w:t>,</w:t>
      </w:r>
      <w:r w:rsidR="008D693A" w:rsidRPr="00B02BC0">
        <w:rPr>
          <w:rFonts w:ascii="Bookman Old Style" w:hAnsi="Bookman Old Style" w:cs="Times New Roman"/>
        </w:rPr>
        <w:t xml:space="preserve"> senza bando</w:t>
      </w:r>
      <w:r w:rsidR="0027043A">
        <w:rPr>
          <w:rFonts w:ascii="Bookman Old Style" w:hAnsi="Bookman Old Style" w:cs="Times New Roman"/>
        </w:rPr>
        <w:t>,</w:t>
      </w:r>
      <w:r w:rsidR="008A3010" w:rsidRPr="00B02BC0">
        <w:rPr>
          <w:rFonts w:ascii="Bookman Old Style" w:hAnsi="Bookman Old Style" w:cs="Times New Roman"/>
        </w:rPr>
        <w:t xml:space="preserve"> </w:t>
      </w:r>
      <w:r w:rsidR="001B2778" w:rsidRPr="00B02BC0">
        <w:rPr>
          <w:rFonts w:ascii="Bookman Old Style" w:hAnsi="Bookman Old Style" w:cs="Times New Roman"/>
        </w:rPr>
        <w:t xml:space="preserve">per lavori da 150.000,00 </w:t>
      </w:r>
      <w:r w:rsidR="0027043A">
        <w:rPr>
          <w:rFonts w:ascii="Bookman Old Style" w:hAnsi="Bookman Old Style" w:cs="Times New Roman"/>
        </w:rPr>
        <w:t xml:space="preserve">euro </w:t>
      </w:r>
      <w:r w:rsidR="000528F1" w:rsidRPr="00B02BC0">
        <w:rPr>
          <w:rFonts w:ascii="Bookman Old Style" w:hAnsi="Bookman Old Style" w:cs="Times New Roman"/>
        </w:rPr>
        <w:t xml:space="preserve">fino a 1 mln di euro e </w:t>
      </w:r>
      <w:r w:rsidR="00D345AA" w:rsidRPr="00B02BC0">
        <w:rPr>
          <w:rFonts w:ascii="Bookman Old Style" w:hAnsi="Bookman Old Style" w:cs="Times New Roman"/>
        </w:rPr>
        <w:t xml:space="preserve">da 1 mln </w:t>
      </w:r>
      <w:r w:rsidR="00076C0E" w:rsidRPr="00B02BC0">
        <w:rPr>
          <w:rFonts w:ascii="Bookman Old Style" w:hAnsi="Bookman Old Style" w:cs="Times New Roman"/>
        </w:rPr>
        <w:t xml:space="preserve">di euro </w:t>
      </w:r>
      <w:r w:rsidR="000528F1" w:rsidRPr="00B02BC0">
        <w:rPr>
          <w:rFonts w:ascii="Bookman Old Style" w:hAnsi="Bookman Old Style" w:cs="Times New Roman"/>
        </w:rPr>
        <w:t>fino a 5</w:t>
      </w:r>
      <w:r w:rsidR="008A3010" w:rsidRPr="00B02BC0">
        <w:rPr>
          <w:rFonts w:ascii="Bookman Old Style" w:hAnsi="Bookman Old Style" w:cs="Times New Roman"/>
        </w:rPr>
        <w:t>,</w:t>
      </w:r>
      <w:r w:rsidR="00664FFA" w:rsidRPr="00B02BC0">
        <w:rPr>
          <w:rFonts w:ascii="Bookman Old Style" w:hAnsi="Bookman Old Style" w:cs="Times New Roman"/>
        </w:rPr>
        <w:t>382</w:t>
      </w:r>
      <w:r w:rsidR="000528F1" w:rsidRPr="00B02BC0">
        <w:rPr>
          <w:rFonts w:ascii="Bookman Old Style" w:hAnsi="Bookman Old Style" w:cs="Times New Roman"/>
        </w:rPr>
        <w:t xml:space="preserve"> mln</w:t>
      </w:r>
      <w:r w:rsidR="0027043A">
        <w:rPr>
          <w:rFonts w:ascii="Bookman Old Style" w:hAnsi="Bookman Old Style" w:cs="Times New Roman"/>
        </w:rPr>
        <w:t xml:space="preserve"> di euro</w:t>
      </w:r>
      <w:r w:rsidR="00C17AA8">
        <w:rPr>
          <w:rFonts w:ascii="Bookman Old Style" w:hAnsi="Bookman Old Style" w:cs="Times New Roman"/>
        </w:rPr>
        <w:t>,</w:t>
      </w:r>
      <w:r w:rsidR="000528F1" w:rsidRPr="00B02BC0">
        <w:rPr>
          <w:rFonts w:ascii="Bookman Old Style" w:hAnsi="Bookman Old Style" w:cs="Times New Roman"/>
        </w:rPr>
        <w:t xml:space="preserve"> con numero di operatori da invitare</w:t>
      </w:r>
      <w:r w:rsidR="00886670" w:rsidRPr="00B02BC0">
        <w:rPr>
          <w:rFonts w:ascii="Bookman Old Style" w:hAnsi="Bookman Old Style" w:cs="Times New Roman"/>
        </w:rPr>
        <w:t xml:space="preserve">, </w:t>
      </w:r>
      <w:r w:rsidR="008A3010" w:rsidRPr="00B02BC0">
        <w:rPr>
          <w:rFonts w:ascii="Bookman Old Style" w:hAnsi="Bookman Old Style" w:cs="Times New Roman"/>
        </w:rPr>
        <w:t>rispettivamente da 5 a 10</w:t>
      </w:r>
      <w:r w:rsidR="00886670" w:rsidRPr="00B02BC0">
        <w:rPr>
          <w:rFonts w:ascii="Bookman Old Style" w:hAnsi="Bookman Old Style" w:cs="Times New Roman"/>
        </w:rPr>
        <w:t xml:space="preserve">. </w:t>
      </w:r>
      <w:r w:rsidR="00E75B53" w:rsidRPr="00B02BC0">
        <w:rPr>
          <w:rFonts w:ascii="Bookman Old Style" w:hAnsi="Bookman Old Style" w:cs="Times New Roman"/>
        </w:rPr>
        <w:t xml:space="preserve">Inoltre, per </w:t>
      </w:r>
      <w:r w:rsidR="000E5D86" w:rsidRPr="00B02BC0">
        <w:rPr>
          <w:rFonts w:ascii="Bookman Old Style" w:hAnsi="Bookman Old Style" w:cs="Times New Roman"/>
        </w:rPr>
        <w:t xml:space="preserve">l’affidamento di </w:t>
      </w:r>
      <w:r w:rsidR="000B044E" w:rsidRPr="00B02BC0">
        <w:rPr>
          <w:rFonts w:ascii="Bookman Old Style" w:hAnsi="Bookman Old Style" w:cs="Times New Roman"/>
        </w:rPr>
        <w:t>lavori di importo pari o s</w:t>
      </w:r>
      <w:r w:rsidR="007F06A9" w:rsidRPr="00B02BC0">
        <w:rPr>
          <w:rFonts w:ascii="Bookman Old Style" w:hAnsi="Bookman Old Style" w:cs="Times New Roman"/>
        </w:rPr>
        <w:t>u</w:t>
      </w:r>
      <w:r w:rsidR="000B044E" w:rsidRPr="00B02BC0">
        <w:rPr>
          <w:rFonts w:ascii="Bookman Old Style" w:hAnsi="Bookman Old Style" w:cs="Times New Roman"/>
        </w:rPr>
        <w:t>periore a 1 milione di euro e fino 5,382 mi</w:t>
      </w:r>
      <w:r w:rsidR="007F06A9" w:rsidRPr="00B02BC0">
        <w:rPr>
          <w:rFonts w:ascii="Bookman Old Style" w:hAnsi="Bookman Old Style" w:cs="Times New Roman"/>
        </w:rPr>
        <w:t>lioni di euro</w:t>
      </w:r>
      <w:r w:rsidR="000755BF">
        <w:rPr>
          <w:rFonts w:ascii="Bookman Old Style" w:hAnsi="Bookman Old Style" w:cs="Times New Roman"/>
        </w:rPr>
        <w:t xml:space="preserve"> </w:t>
      </w:r>
      <w:r w:rsidR="000E5D86" w:rsidRPr="00B02BC0">
        <w:rPr>
          <w:rFonts w:ascii="Bookman Old Style" w:hAnsi="Bookman Old Style" w:cs="Times New Roman"/>
        </w:rPr>
        <w:t>è</w:t>
      </w:r>
      <w:r w:rsidR="008E4A0B" w:rsidRPr="00B02BC0">
        <w:rPr>
          <w:rFonts w:ascii="Bookman Old Style" w:hAnsi="Bookman Old Style" w:cs="Times New Roman"/>
        </w:rPr>
        <w:t xml:space="preserve"> fatta salva la </w:t>
      </w:r>
      <w:r w:rsidR="008E4A0B" w:rsidRPr="00C72476">
        <w:rPr>
          <w:rFonts w:ascii="Bookman Old Style" w:hAnsi="Bookman Old Style" w:cs="Times New Roman"/>
          <w:u w:val="single"/>
        </w:rPr>
        <w:t xml:space="preserve">possibilità di procedere con gara ad evidenza pubblica senza necessità di motivazione. </w:t>
      </w:r>
    </w:p>
    <w:p w14:paraId="2E099866" w14:textId="77777777" w:rsidR="00EB0332" w:rsidRPr="00C72476" w:rsidRDefault="00EB0332" w:rsidP="00B02BC0">
      <w:pPr>
        <w:pStyle w:val="Paragrafoelenco"/>
        <w:spacing w:after="0" w:line="360" w:lineRule="auto"/>
        <w:jc w:val="both"/>
        <w:rPr>
          <w:rFonts w:ascii="Bookman Old Style" w:hAnsi="Bookman Old Style" w:cs="Times New Roman"/>
          <w:u w:val="single"/>
        </w:rPr>
      </w:pPr>
    </w:p>
    <w:p w14:paraId="44FA648E" w14:textId="0962B5E6" w:rsidR="00167922" w:rsidRDefault="001A4B95" w:rsidP="00790440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  <w:b/>
          <w:bCs/>
          <w:i/>
          <w:iCs/>
          <w:color w:val="1F3864" w:themeColor="accent1" w:themeShade="80"/>
        </w:rPr>
        <w:t xml:space="preserve">Revisione prezzi: </w:t>
      </w:r>
      <w:r w:rsidR="006778CD" w:rsidRPr="0091701B">
        <w:rPr>
          <w:rFonts w:ascii="Bookman Old Style" w:hAnsi="Bookman Old Style" w:cs="Times New Roman"/>
        </w:rPr>
        <w:t>nelle procedure di affidamento obbligo di inserimento delle clausole di revisione prezzi</w:t>
      </w:r>
      <w:r w:rsidR="004511A1" w:rsidRPr="0091701B">
        <w:rPr>
          <w:rFonts w:ascii="Bookman Old Style" w:hAnsi="Bookman Old Style" w:cs="Times New Roman"/>
        </w:rPr>
        <w:t xml:space="preserve"> che si attivano </w:t>
      </w:r>
      <w:r w:rsidR="00D01062" w:rsidRPr="0091701B">
        <w:rPr>
          <w:rFonts w:ascii="Bookman Old Style" w:hAnsi="Bookman Old Style" w:cs="Times New Roman"/>
        </w:rPr>
        <w:t xml:space="preserve">per variazioni </w:t>
      </w:r>
      <w:r w:rsidR="00D01062" w:rsidRPr="0091701B">
        <w:rPr>
          <w:rFonts w:ascii="Bookman Old Style" w:hAnsi="Bookman Old Style" w:cs="Times New Roman"/>
          <w:b/>
          <w:bCs/>
        </w:rPr>
        <w:t>del costo dell’opera, della fornitura o del servizio</w:t>
      </w:r>
      <w:r w:rsidR="00D01062" w:rsidRPr="0091701B">
        <w:rPr>
          <w:rFonts w:ascii="Bookman Old Style" w:hAnsi="Bookman Old Style" w:cs="Times New Roman"/>
        </w:rPr>
        <w:t xml:space="preserve">, in aumento o in diminuzione, superiori al 5% dell’importo complessivo e operano nella misura dell’80% della variazione stessa, </w:t>
      </w:r>
      <w:r w:rsidR="00D01062" w:rsidRPr="0091701B">
        <w:rPr>
          <w:rFonts w:ascii="Bookman Old Style" w:hAnsi="Bookman Old Style" w:cs="Times New Roman"/>
          <w:b/>
          <w:bCs/>
        </w:rPr>
        <w:t>in relazione alle prestazioni da eseguire in maniera prevalente</w:t>
      </w:r>
      <w:r w:rsidR="00D01062" w:rsidRPr="0091701B">
        <w:rPr>
          <w:rFonts w:ascii="Bookman Old Style" w:hAnsi="Bookman Old Style" w:cs="Times New Roman"/>
        </w:rPr>
        <w:t>.</w:t>
      </w:r>
      <w:r w:rsidR="00441FD5" w:rsidRPr="0091701B">
        <w:rPr>
          <w:rFonts w:ascii="Bookman Old Style" w:hAnsi="Bookman Old Style" w:cs="Times New Roman"/>
        </w:rPr>
        <w:t xml:space="preserve"> Si utilizzano indici </w:t>
      </w:r>
      <w:r w:rsidR="004932D6" w:rsidRPr="0091701B">
        <w:rPr>
          <w:rFonts w:ascii="Bookman Old Style" w:hAnsi="Bookman Old Style" w:cs="Times New Roman"/>
        </w:rPr>
        <w:t xml:space="preserve">elaborati </w:t>
      </w:r>
      <w:r w:rsidR="004932D6" w:rsidRPr="0091701B">
        <w:rPr>
          <w:rFonts w:ascii="Bookman Old Style" w:hAnsi="Bookman Old Style" w:cs="Times New Roman"/>
        </w:rPr>
        <w:lastRenderedPageBreak/>
        <w:t>dall’</w:t>
      </w:r>
      <w:r w:rsidR="00441FD5" w:rsidRPr="0091701B">
        <w:rPr>
          <w:rFonts w:ascii="Bookman Old Style" w:hAnsi="Bookman Old Style" w:cs="Times New Roman"/>
        </w:rPr>
        <w:t>ISTAT</w:t>
      </w:r>
      <w:r w:rsidR="001D3ABE" w:rsidRPr="0091701B">
        <w:rPr>
          <w:rFonts w:ascii="Bookman Old Style" w:hAnsi="Bookman Old Style" w:cs="Times New Roman"/>
        </w:rPr>
        <w:t xml:space="preserve"> pubblicati, unitamente alla relativa metodologia di calcolo, sul portale istituzionale dell’Istituto. Il MIT può prevedere ulteriori indici da utilizzare</w:t>
      </w:r>
      <w:r w:rsidR="00152C76" w:rsidRPr="0091701B">
        <w:rPr>
          <w:rFonts w:ascii="Bookman Old Style" w:hAnsi="Bookman Old Style" w:cs="Times New Roman"/>
        </w:rPr>
        <w:t>, previo decreto,</w:t>
      </w:r>
      <w:r w:rsidR="001D3ABE" w:rsidRPr="0091701B">
        <w:rPr>
          <w:rFonts w:ascii="Bookman Old Style" w:hAnsi="Bookman Old Style" w:cs="Times New Roman"/>
        </w:rPr>
        <w:t xml:space="preserve"> in accordo con ISTAT.</w:t>
      </w:r>
    </w:p>
    <w:p w14:paraId="30362FDA" w14:textId="35F51735" w:rsidR="00DD2356" w:rsidRPr="0091701B" w:rsidRDefault="00DD2356" w:rsidP="003D5384">
      <w:pPr>
        <w:pStyle w:val="Paragrafoelenco"/>
        <w:spacing w:after="0" w:line="360" w:lineRule="auto"/>
        <w:ind w:left="785"/>
        <w:jc w:val="both"/>
        <w:rPr>
          <w:rFonts w:ascii="Bookman Old Style" w:hAnsi="Bookman Old Style" w:cs="Times New Roman"/>
        </w:rPr>
      </w:pPr>
      <w:r w:rsidRPr="00EF033D">
        <w:rPr>
          <w:rFonts w:ascii="Bookman Old Style" w:hAnsi="Bookman Old Style" w:cs="Times New Roman"/>
        </w:rPr>
        <w:t>I</w:t>
      </w:r>
      <w:r w:rsidR="003D5384" w:rsidRPr="00EF033D">
        <w:rPr>
          <w:rFonts w:ascii="Bookman Old Style" w:hAnsi="Bookman Old Style" w:cs="Times New Roman"/>
        </w:rPr>
        <w:t>n merito a ciò, è specificato che i</w:t>
      </w:r>
      <w:r w:rsidRPr="00EF033D">
        <w:rPr>
          <w:rFonts w:ascii="Bookman Old Style" w:hAnsi="Bookman Old Style" w:cs="Times New Roman"/>
        </w:rPr>
        <w:t xml:space="preserve"> prezzari elaborati dalle regioni e dalle province autonome</w:t>
      </w:r>
      <w:r w:rsidR="0027043A">
        <w:rPr>
          <w:rFonts w:ascii="Bookman Old Style" w:hAnsi="Bookman Old Style" w:cs="Times New Roman"/>
        </w:rPr>
        <w:t>,</w:t>
      </w:r>
      <w:r w:rsidRPr="00EF033D">
        <w:rPr>
          <w:rFonts w:ascii="Bookman Old Style" w:hAnsi="Bookman Old Style" w:cs="Times New Roman"/>
        </w:rPr>
        <w:t xml:space="preserve"> di concerto con le articolazioni territoriali del Ministero delle infrastrutture e dei trasporti</w:t>
      </w:r>
      <w:r w:rsidR="0027043A">
        <w:rPr>
          <w:rFonts w:ascii="Bookman Old Style" w:hAnsi="Bookman Old Style" w:cs="Times New Roman"/>
        </w:rPr>
        <w:t>,</w:t>
      </w:r>
      <w:r w:rsidRPr="00EF033D">
        <w:rPr>
          <w:rFonts w:ascii="Bookman Old Style" w:hAnsi="Bookman Old Style" w:cs="Times New Roman"/>
        </w:rPr>
        <w:t xml:space="preserve"> devono essere utilizzati ai fini della quantificazione definitiva del limite di spesa per la realizzazione di un’opera.</w:t>
      </w:r>
      <w:r w:rsidR="00140624" w:rsidRPr="00EF033D">
        <w:rPr>
          <w:rFonts w:ascii="Bookman Old Style" w:hAnsi="Bookman Old Style" w:cs="Times New Roman"/>
        </w:rPr>
        <w:t xml:space="preserve"> </w:t>
      </w:r>
      <w:r w:rsidR="00300A51" w:rsidRPr="00EF033D">
        <w:rPr>
          <w:rFonts w:ascii="Bookman Old Style" w:hAnsi="Bookman Old Style" w:cs="Times New Roman"/>
        </w:rPr>
        <w:t>Tali</w:t>
      </w:r>
      <w:r w:rsidR="00140624" w:rsidRPr="00EF033D">
        <w:rPr>
          <w:rFonts w:ascii="Bookman Old Style" w:hAnsi="Bookman Old Style" w:cs="Times New Roman"/>
        </w:rPr>
        <w:t xml:space="preserve"> prezzari cessano di avere validità al 31 dicembre di ogni anno e possono essere transitoriamente utilizzati fino al 30 giugno dell’anno successivo</w:t>
      </w:r>
      <w:r w:rsidR="006D109E">
        <w:rPr>
          <w:rFonts w:ascii="Bookman Old Style" w:hAnsi="Bookman Old Style" w:cs="Times New Roman"/>
        </w:rPr>
        <w:t>,</w:t>
      </w:r>
      <w:r w:rsidR="00140624" w:rsidRPr="00EF033D">
        <w:rPr>
          <w:rFonts w:ascii="Bookman Old Style" w:hAnsi="Bookman Old Style" w:cs="Times New Roman"/>
        </w:rPr>
        <w:t xml:space="preserve"> per i progetti a base di gara la cui approvazione sia intervenuta entro tale data, ovvero</w:t>
      </w:r>
      <w:r w:rsidR="003004BF" w:rsidRPr="00EF033D">
        <w:rPr>
          <w:rFonts w:ascii="Bookman Old Style" w:hAnsi="Bookman Old Style" w:cs="Times New Roman"/>
        </w:rPr>
        <w:t xml:space="preserve"> secondo le s</w:t>
      </w:r>
      <w:r w:rsidR="00552589" w:rsidRPr="00EF033D">
        <w:rPr>
          <w:rFonts w:ascii="Bookman Old Style" w:hAnsi="Bookman Old Style" w:cs="Times New Roman"/>
        </w:rPr>
        <w:t>p</w:t>
      </w:r>
      <w:r w:rsidR="003004BF" w:rsidRPr="00EF033D">
        <w:rPr>
          <w:rFonts w:ascii="Bookman Old Style" w:hAnsi="Bookman Old Style" w:cs="Times New Roman"/>
        </w:rPr>
        <w:t>ecifiche casistiche indicate nell’allegato I.</w:t>
      </w:r>
      <w:r w:rsidR="00552589" w:rsidRPr="00EF033D">
        <w:rPr>
          <w:rFonts w:ascii="Bookman Old Style" w:hAnsi="Bookman Old Style" w:cs="Times New Roman"/>
        </w:rPr>
        <w:t>14</w:t>
      </w:r>
      <w:r w:rsidR="000C7B69">
        <w:rPr>
          <w:rFonts w:ascii="Bookman Old Style" w:hAnsi="Bookman Old Style" w:cs="Times New Roman"/>
        </w:rPr>
        <w:t xml:space="preserve"> del nuovo codice</w:t>
      </w:r>
      <w:r w:rsidR="00552589" w:rsidRPr="00EF033D">
        <w:rPr>
          <w:rFonts w:ascii="Bookman Old Style" w:hAnsi="Bookman Old Style" w:cs="Times New Roman"/>
        </w:rPr>
        <w:t>.</w:t>
      </w:r>
    </w:p>
    <w:p w14:paraId="256BE955" w14:textId="77777777" w:rsidR="00790440" w:rsidRPr="0091701B" w:rsidRDefault="00790440" w:rsidP="00790440">
      <w:pPr>
        <w:pStyle w:val="Paragrafoelenco"/>
        <w:spacing w:after="0" w:line="360" w:lineRule="auto"/>
        <w:jc w:val="both"/>
        <w:rPr>
          <w:rFonts w:ascii="Bookman Old Style" w:hAnsi="Bookman Old Style" w:cs="Times New Roman"/>
        </w:rPr>
      </w:pPr>
    </w:p>
    <w:p w14:paraId="4B9598E0" w14:textId="77777777" w:rsidR="009D64CD" w:rsidRDefault="009156B6" w:rsidP="00FA627D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E649F9">
        <w:rPr>
          <w:rFonts w:ascii="Bookman Old Style" w:hAnsi="Bookman Old Style" w:cs="Times New Roman"/>
          <w:b/>
          <w:bCs/>
          <w:i/>
          <w:iCs/>
          <w:color w:val="1F3864" w:themeColor="accent1" w:themeShade="80"/>
        </w:rPr>
        <w:t>Qualificazione SA e CC:</w:t>
      </w:r>
      <w:r w:rsidRPr="00E649F9">
        <w:rPr>
          <w:rFonts w:ascii="Bookman Old Style" w:hAnsi="Bookman Old Style" w:cs="Times New Roman"/>
          <w:i/>
          <w:iCs/>
        </w:rPr>
        <w:t xml:space="preserve"> </w:t>
      </w:r>
      <w:r w:rsidR="00790440" w:rsidRPr="00E649F9">
        <w:rPr>
          <w:rFonts w:ascii="Bookman Old Style" w:hAnsi="Bookman Old Style" w:cs="Times New Roman"/>
        </w:rPr>
        <w:t>p</w:t>
      </w:r>
      <w:r w:rsidRPr="00E649F9">
        <w:rPr>
          <w:rFonts w:ascii="Bookman Old Style" w:hAnsi="Bookman Old Style" w:cs="Times New Roman"/>
        </w:rPr>
        <w:t xml:space="preserve">revista la qualificazione </w:t>
      </w:r>
      <w:r w:rsidR="00DD2BE9" w:rsidRPr="00E649F9">
        <w:rPr>
          <w:rFonts w:ascii="Bookman Old Style" w:hAnsi="Bookman Old Style" w:cs="Times New Roman"/>
        </w:rPr>
        <w:t>per procedure di importo superiore alle sog</w:t>
      </w:r>
      <w:r w:rsidR="00857BCE" w:rsidRPr="00E649F9">
        <w:rPr>
          <w:rFonts w:ascii="Bookman Old Style" w:hAnsi="Bookman Old Style" w:cs="Times New Roman"/>
        </w:rPr>
        <w:t>l</w:t>
      </w:r>
      <w:r w:rsidR="00DD2BE9" w:rsidRPr="00E649F9">
        <w:rPr>
          <w:rFonts w:ascii="Bookman Old Style" w:hAnsi="Bookman Old Style" w:cs="Times New Roman"/>
        </w:rPr>
        <w:t xml:space="preserve">ie per </w:t>
      </w:r>
      <w:r w:rsidR="00DD2BE9" w:rsidRPr="00E649F9">
        <w:rPr>
          <w:rFonts w:ascii="Bookman Old Style" w:hAnsi="Bookman Old Style" w:cs="Times New Roman"/>
          <w:u w:val="single"/>
        </w:rPr>
        <w:t xml:space="preserve">l’affidamento diretto di forniture e servizi e per importi superiori a </w:t>
      </w:r>
      <w:r w:rsidR="00DD2BE9" w:rsidRPr="009D64CD">
        <w:rPr>
          <w:rFonts w:ascii="Bookman Old Style" w:hAnsi="Bookman Old Style" w:cs="Times New Roman"/>
          <w:b/>
          <w:bCs/>
          <w:i/>
          <w:iCs/>
          <w:u w:val="single"/>
        </w:rPr>
        <w:t>500.000 euro per l’affid</w:t>
      </w:r>
      <w:r w:rsidR="00E271DE" w:rsidRPr="009D64CD">
        <w:rPr>
          <w:rFonts w:ascii="Bookman Old Style" w:hAnsi="Bookman Old Style" w:cs="Times New Roman"/>
          <w:b/>
          <w:bCs/>
          <w:i/>
          <w:iCs/>
          <w:u w:val="single"/>
        </w:rPr>
        <w:t>a</w:t>
      </w:r>
      <w:r w:rsidR="00DD2BE9" w:rsidRPr="009D64CD">
        <w:rPr>
          <w:rFonts w:ascii="Bookman Old Style" w:hAnsi="Bookman Old Style" w:cs="Times New Roman"/>
          <w:b/>
          <w:bCs/>
          <w:i/>
          <w:iCs/>
          <w:u w:val="single"/>
        </w:rPr>
        <w:t>m</w:t>
      </w:r>
      <w:r w:rsidR="00E271DE" w:rsidRPr="009D64CD">
        <w:rPr>
          <w:rFonts w:ascii="Bookman Old Style" w:hAnsi="Bookman Old Style" w:cs="Times New Roman"/>
          <w:b/>
          <w:bCs/>
          <w:i/>
          <w:iCs/>
          <w:u w:val="single"/>
        </w:rPr>
        <w:t>e</w:t>
      </w:r>
      <w:r w:rsidR="00DD2BE9" w:rsidRPr="009D64CD">
        <w:rPr>
          <w:rFonts w:ascii="Bookman Old Style" w:hAnsi="Bookman Old Style" w:cs="Times New Roman"/>
          <w:b/>
          <w:bCs/>
          <w:i/>
          <w:iCs/>
          <w:u w:val="single"/>
        </w:rPr>
        <w:t>nto di lavori</w:t>
      </w:r>
      <w:r w:rsidR="00DD2BE9" w:rsidRPr="00E649F9">
        <w:rPr>
          <w:rFonts w:ascii="Bookman Old Style" w:hAnsi="Bookman Old Style" w:cs="Times New Roman"/>
        </w:rPr>
        <w:t>.</w:t>
      </w:r>
      <w:r w:rsidR="00B320DF" w:rsidRPr="00E649F9">
        <w:rPr>
          <w:rFonts w:ascii="Bookman Old Style" w:hAnsi="Bookman Old Style" w:cs="Times New Roman"/>
        </w:rPr>
        <w:t xml:space="preserve"> </w:t>
      </w:r>
    </w:p>
    <w:p w14:paraId="1229B384" w14:textId="77777777" w:rsidR="009D64CD" w:rsidRDefault="00B320DF" w:rsidP="009D64CD">
      <w:pPr>
        <w:pStyle w:val="Paragrafoelenco"/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  <w:r w:rsidRPr="00E649F9">
        <w:rPr>
          <w:rFonts w:ascii="Bookman Old Style" w:hAnsi="Bookman Old Style" w:cs="Times New Roman"/>
          <w:b/>
          <w:bCs/>
        </w:rPr>
        <w:t xml:space="preserve">Il sistema di qualificazione entrerà in vigore il </w:t>
      </w:r>
      <w:r w:rsidR="000A0F5C" w:rsidRPr="00E649F9">
        <w:rPr>
          <w:rFonts w:ascii="Bookman Old Style" w:hAnsi="Bookman Old Style" w:cs="Times New Roman"/>
          <w:b/>
          <w:bCs/>
        </w:rPr>
        <w:t xml:space="preserve">1° </w:t>
      </w:r>
      <w:r w:rsidRPr="00E649F9">
        <w:rPr>
          <w:rFonts w:ascii="Bookman Old Style" w:hAnsi="Bookman Old Style" w:cs="Times New Roman"/>
          <w:b/>
          <w:bCs/>
        </w:rPr>
        <w:t>gennaio 2024.</w:t>
      </w:r>
      <w:r w:rsidR="00790440" w:rsidRPr="00E649F9">
        <w:rPr>
          <w:rFonts w:ascii="Bookman Old Style" w:hAnsi="Bookman Old Style" w:cs="Times New Roman"/>
          <w:b/>
          <w:bCs/>
        </w:rPr>
        <w:t xml:space="preserve"> </w:t>
      </w:r>
    </w:p>
    <w:p w14:paraId="45EBA96E" w14:textId="43DD12F5" w:rsidR="00790440" w:rsidRPr="00E649F9" w:rsidRDefault="00BC2073" w:rsidP="009D64CD">
      <w:pPr>
        <w:pStyle w:val="Paragrafoelenco"/>
        <w:spacing w:after="0" w:line="360" w:lineRule="auto"/>
        <w:jc w:val="both"/>
        <w:rPr>
          <w:rFonts w:ascii="Bookman Old Style" w:hAnsi="Bookman Old Style" w:cs="Times New Roman"/>
        </w:rPr>
      </w:pPr>
      <w:r w:rsidRPr="00E649F9">
        <w:rPr>
          <w:rFonts w:ascii="Bookman Old Style" w:hAnsi="Bookman Old Style" w:cs="Times New Roman"/>
        </w:rPr>
        <w:t>In sede di prima applicazione</w:t>
      </w:r>
      <w:r w:rsidR="009A40C6" w:rsidRPr="00E649F9">
        <w:rPr>
          <w:rFonts w:ascii="Bookman Old Style" w:hAnsi="Bookman Old Style" w:cs="Times New Roman"/>
        </w:rPr>
        <w:t>,</w:t>
      </w:r>
      <w:r w:rsidRPr="00E649F9">
        <w:rPr>
          <w:rFonts w:ascii="Bookman Old Style" w:hAnsi="Bookman Old Style" w:cs="Times New Roman"/>
        </w:rPr>
        <w:t xml:space="preserve"> </w:t>
      </w:r>
      <w:r w:rsidRPr="00E649F9">
        <w:rPr>
          <w:rFonts w:ascii="Bookman Old Style" w:hAnsi="Bookman Old Style" w:cs="Times New Roman"/>
          <w:u w:val="single"/>
        </w:rPr>
        <w:t xml:space="preserve">le stazioni appaltanti delle </w:t>
      </w:r>
      <w:r w:rsidR="009D64CD">
        <w:rPr>
          <w:rFonts w:ascii="Bookman Old Style" w:hAnsi="Bookman Old Style" w:cs="Times New Roman"/>
          <w:b/>
          <w:bCs/>
          <w:u w:val="single"/>
        </w:rPr>
        <w:t>U</w:t>
      </w:r>
      <w:r w:rsidRPr="009D64CD">
        <w:rPr>
          <w:rFonts w:ascii="Bookman Old Style" w:hAnsi="Bookman Old Style" w:cs="Times New Roman"/>
          <w:b/>
          <w:bCs/>
          <w:u w:val="single"/>
        </w:rPr>
        <w:t>nioni di comuni,</w:t>
      </w:r>
      <w:r w:rsidRPr="00E649F9">
        <w:rPr>
          <w:rFonts w:ascii="Bookman Old Style" w:hAnsi="Bookman Old Style" w:cs="Times New Roman"/>
          <w:u w:val="single"/>
        </w:rPr>
        <w:t xml:space="preserve"> costituite nelle forme previst</w:t>
      </w:r>
      <w:r w:rsidR="004E736E" w:rsidRPr="00E649F9">
        <w:rPr>
          <w:rFonts w:ascii="Bookman Old Style" w:hAnsi="Bookman Old Style" w:cs="Times New Roman"/>
          <w:u w:val="single"/>
        </w:rPr>
        <w:t>e</w:t>
      </w:r>
      <w:r w:rsidRPr="00E649F9">
        <w:rPr>
          <w:rFonts w:ascii="Bookman Old Style" w:hAnsi="Bookman Old Style" w:cs="Times New Roman"/>
          <w:u w:val="single"/>
        </w:rPr>
        <w:t xml:space="preserve"> dall’ordinamento, delle </w:t>
      </w:r>
      <w:r w:rsidR="009D64CD">
        <w:rPr>
          <w:rFonts w:ascii="Bookman Old Style" w:hAnsi="Bookman Old Style" w:cs="Times New Roman"/>
          <w:b/>
          <w:bCs/>
          <w:u w:val="single"/>
        </w:rPr>
        <w:t>P</w:t>
      </w:r>
      <w:r w:rsidRPr="009D64CD">
        <w:rPr>
          <w:rFonts w:ascii="Bookman Old Style" w:hAnsi="Bookman Old Style" w:cs="Times New Roman"/>
          <w:b/>
          <w:bCs/>
          <w:u w:val="single"/>
        </w:rPr>
        <w:t xml:space="preserve">rovincie e delle </w:t>
      </w:r>
      <w:r w:rsidR="009D64CD">
        <w:rPr>
          <w:rFonts w:ascii="Bookman Old Style" w:hAnsi="Bookman Old Style" w:cs="Times New Roman"/>
          <w:b/>
          <w:bCs/>
          <w:u w:val="single"/>
        </w:rPr>
        <w:t>C</w:t>
      </w:r>
      <w:r w:rsidRPr="009D64CD">
        <w:rPr>
          <w:rFonts w:ascii="Bookman Old Style" w:hAnsi="Bookman Old Style" w:cs="Times New Roman"/>
          <w:b/>
          <w:bCs/>
          <w:u w:val="single"/>
        </w:rPr>
        <w:t xml:space="preserve">ittà metropolitane, dei </w:t>
      </w:r>
      <w:r w:rsidR="009D64CD">
        <w:rPr>
          <w:rFonts w:ascii="Bookman Old Style" w:hAnsi="Bookman Old Style" w:cs="Times New Roman"/>
          <w:b/>
          <w:bCs/>
          <w:u w:val="single"/>
        </w:rPr>
        <w:t>C</w:t>
      </w:r>
      <w:r w:rsidRPr="009D64CD">
        <w:rPr>
          <w:rFonts w:ascii="Bookman Old Style" w:hAnsi="Bookman Old Style" w:cs="Times New Roman"/>
          <w:b/>
          <w:bCs/>
          <w:u w:val="single"/>
        </w:rPr>
        <w:t xml:space="preserve">omuni capoluogo di provincia e delle </w:t>
      </w:r>
      <w:r w:rsidR="009D64CD">
        <w:rPr>
          <w:rFonts w:ascii="Bookman Old Style" w:hAnsi="Bookman Old Style" w:cs="Times New Roman"/>
          <w:b/>
          <w:bCs/>
          <w:u w:val="single"/>
        </w:rPr>
        <w:t>R</w:t>
      </w:r>
      <w:r w:rsidRPr="009D64CD">
        <w:rPr>
          <w:rFonts w:ascii="Bookman Old Style" w:hAnsi="Bookman Old Style" w:cs="Times New Roman"/>
          <w:b/>
          <w:bCs/>
          <w:u w:val="single"/>
        </w:rPr>
        <w:t xml:space="preserve">egioni </w:t>
      </w:r>
      <w:r w:rsidRPr="00E649F9">
        <w:rPr>
          <w:rFonts w:ascii="Bookman Old Style" w:hAnsi="Bookman Old Style" w:cs="Times New Roman"/>
          <w:u w:val="single"/>
        </w:rPr>
        <w:t xml:space="preserve">sono iscritte </w:t>
      </w:r>
      <w:r w:rsidR="00914C22" w:rsidRPr="00E649F9">
        <w:rPr>
          <w:rFonts w:ascii="Bookman Old Style" w:hAnsi="Bookman Old Style" w:cs="Times New Roman"/>
          <w:u w:val="single"/>
        </w:rPr>
        <w:t>nell’elenco ANAC delle stazioni appalti qualificate</w:t>
      </w:r>
      <w:r w:rsidR="00047AC3" w:rsidRPr="00E649F9">
        <w:rPr>
          <w:rFonts w:ascii="Bookman Old Style" w:hAnsi="Bookman Old Style" w:cs="Times New Roman"/>
          <w:u w:val="single"/>
        </w:rPr>
        <w:t xml:space="preserve"> con riserva</w:t>
      </w:r>
      <w:r w:rsidR="00F837D5" w:rsidRPr="00E649F9">
        <w:rPr>
          <w:rFonts w:ascii="Bookman Old Style" w:hAnsi="Bookman Old Style" w:cs="Times New Roman"/>
          <w:u w:val="single"/>
        </w:rPr>
        <w:t>.</w:t>
      </w:r>
      <w:r w:rsidR="00857EE4" w:rsidRPr="00E649F9">
        <w:rPr>
          <w:rFonts w:ascii="Bookman Old Style" w:hAnsi="Bookman Old Style" w:cs="Times New Roman"/>
          <w:u w:val="single"/>
        </w:rPr>
        <w:t xml:space="preserve"> </w:t>
      </w:r>
      <w:r w:rsidR="00BC271E" w:rsidRPr="00A92CE7">
        <w:rPr>
          <w:rFonts w:ascii="Bookman Old Style" w:hAnsi="Bookman Old Style" w:cs="Times New Roman"/>
          <w:b/>
          <w:bCs/>
          <w:u w:val="single"/>
        </w:rPr>
        <w:t>L</w:t>
      </w:r>
      <w:r w:rsidR="00ED39B2" w:rsidRPr="00E649F9">
        <w:rPr>
          <w:rFonts w:ascii="Bookman Old Style" w:hAnsi="Bookman Old Style" w:cs="Times New Roman"/>
          <w:b/>
          <w:bCs/>
        </w:rPr>
        <w:t xml:space="preserve">e succitate stazioni appaltanti </w:t>
      </w:r>
      <w:r w:rsidR="00857EE4" w:rsidRPr="00E649F9">
        <w:rPr>
          <w:rFonts w:ascii="Bookman Old Style" w:hAnsi="Bookman Old Style" w:cs="Times New Roman"/>
          <w:b/>
          <w:bCs/>
        </w:rPr>
        <w:t>devono presentare domanda</w:t>
      </w:r>
      <w:r w:rsidR="00BC271E" w:rsidRPr="00E649F9">
        <w:rPr>
          <w:rFonts w:ascii="Bookman Old Style" w:hAnsi="Bookman Old Style" w:cs="Times New Roman"/>
          <w:b/>
          <w:bCs/>
        </w:rPr>
        <w:t xml:space="preserve"> di scrizione con riserva agli elenchi </w:t>
      </w:r>
      <w:r w:rsidR="007A0CCF" w:rsidRPr="00E649F9">
        <w:rPr>
          <w:rFonts w:ascii="Bookman Old Style" w:hAnsi="Bookman Old Style" w:cs="Times New Roman"/>
          <w:b/>
          <w:bCs/>
        </w:rPr>
        <w:t xml:space="preserve">delle stazioni appaltanti e delle centrali di committenza qualificate </w:t>
      </w:r>
      <w:r w:rsidR="00E649F9" w:rsidRPr="00E649F9">
        <w:rPr>
          <w:rFonts w:ascii="Bookman Old Style" w:hAnsi="Bookman Old Style" w:cs="Times New Roman"/>
          <w:b/>
          <w:bCs/>
        </w:rPr>
        <w:t xml:space="preserve">a partire </w:t>
      </w:r>
      <w:r w:rsidR="00857EE4" w:rsidRPr="00E649F9">
        <w:rPr>
          <w:rFonts w:ascii="Bookman Old Style" w:hAnsi="Bookman Old Style" w:cs="Times New Roman"/>
          <w:b/>
          <w:bCs/>
        </w:rPr>
        <w:t>dal 1</w:t>
      </w:r>
      <w:r w:rsidR="00EB0728" w:rsidRPr="00E649F9">
        <w:rPr>
          <w:rFonts w:ascii="Bookman Old Style" w:hAnsi="Bookman Old Style" w:cs="Times New Roman"/>
          <w:b/>
          <w:bCs/>
        </w:rPr>
        <w:t>°</w:t>
      </w:r>
      <w:r w:rsidR="00857EE4" w:rsidRPr="00E649F9">
        <w:rPr>
          <w:rFonts w:ascii="Bookman Old Style" w:hAnsi="Bookman Old Style" w:cs="Times New Roman"/>
          <w:b/>
          <w:bCs/>
        </w:rPr>
        <w:t xml:space="preserve"> luglio 2023, così da prestare ausilio</w:t>
      </w:r>
      <w:r w:rsidR="003C6985" w:rsidRPr="00E649F9">
        <w:rPr>
          <w:rFonts w:ascii="Bookman Old Style" w:hAnsi="Bookman Old Style" w:cs="Times New Roman"/>
          <w:b/>
          <w:bCs/>
        </w:rPr>
        <w:t xml:space="preserve"> in favore di altre SA non qualificate</w:t>
      </w:r>
      <w:r w:rsidR="00047AC3" w:rsidRPr="00E649F9">
        <w:rPr>
          <w:rFonts w:ascii="Bookman Old Style" w:hAnsi="Bookman Old Style" w:cs="Times New Roman"/>
          <w:b/>
          <w:bCs/>
        </w:rPr>
        <w:t>.</w:t>
      </w:r>
      <w:r w:rsidR="00790440" w:rsidRPr="00E649F9">
        <w:rPr>
          <w:rFonts w:ascii="Bookman Old Style" w:hAnsi="Bookman Old Style" w:cs="Times New Roman"/>
          <w:b/>
          <w:bCs/>
        </w:rPr>
        <w:t xml:space="preserve"> </w:t>
      </w:r>
      <w:r w:rsidR="00E649F9">
        <w:rPr>
          <w:rFonts w:ascii="Bookman Old Style" w:hAnsi="Bookman Old Style" w:cs="Times New Roman"/>
          <w:b/>
          <w:bCs/>
        </w:rPr>
        <w:t xml:space="preserve">Le stesse, a decorrere dal </w:t>
      </w:r>
      <w:r w:rsidR="0077230E" w:rsidRPr="00E649F9">
        <w:rPr>
          <w:rFonts w:ascii="Bookman Old Style" w:hAnsi="Bookman Old Style" w:cs="Times New Roman"/>
          <w:b/>
          <w:bCs/>
        </w:rPr>
        <w:t>1</w:t>
      </w:r>
      <w:r w:rsidR="00BF5D39" w:rsidRPr="00E649F9">
        <w:rPr>
          <w:rFonts w:ascii="Bookman Old Style" w:hAnsi="Bookman Old Style" w:cs="Times New Roman"/>
          <w:b/>
          <w:bCs/>
        </w:rPr>
        <w:t>°</w:t>
      </w:r>
      <w:r w:rsidR="0077230E" w:rsidRPr="00E649F9">
        <w:rPr>
          <w:rFonts w:ascii="Bookman Old Style" w:hAnsi="Bookman Old Style" w:cs="Times New Roman"/>
          <w:b/>
          <w:bCs/>
        </w:rPr>
        <w:t xml:space="preserve">gennaio 2024 dovranno </w:t>
      </w:r>
      <w:r w:rsidR="00E649F9">
        <w:rPr>
          <w:rFonts w:ascii="Bookman Old Style" w:hAnsi="Bookman Old Style" w:cs="Times New Roman"/>
          <w:b/>
          <w:bCs/>
        </w:rPr>
        <w:t xml:space="preserve">presentare </w:t>
      </w:r>
      <w:r w:rsidR="0077230E" w:rsidRPr="00E649F9">
        <w:rPr>
          <w:rFonts w:ascii="Bookman Old Style" w:hAnsi="Bookman Old Style" w:cs="Times New Roman"/>
          <w:b/>
          <w:bCs/>
        </w:rPr>
        <w:t>domanda per l’iscrizione a regime</w:t>
      </w:r>
      <w:r w:rsidR="009D64CD">
        <w:rPr>
          <w:rFonts w:ascii="Bookman Old Style" w:hAnsi="Bookman Old Style" w:cs="Times New Roman"/>
          <w:b/>
          <w:bCs/>
        </w:rPr>
        <w:t xml:space="preserve"> nei medesimi elenchi. </w:t>
      </w:r>
      <w:r w:rsidR="00EB0728" w:rsidRPr="00E649F9">
        <w:rPr>
          <w:rFonts w:ascii="Bookman Old Style" w:hAnsi="Bookman Old Style" w:cs="Times New Roman"/>
          <w:b/>
          <w:bCs/>
          <w:u w:val="single"/>
        </w:rPr>
        <w:t xml:space="preserve"> L’iscrizione </w:t>
      </w:r>
      <w:r w:rsidR="00B96927" w:rsidRPr="00E649F9">
        <w:rPr>
          <w:rFonts w:ascii="Bookman Old Style" w:hAnsi="Bookman Old Style" w:cs="Times New Roman"/>
          <w:b/>
          <w:bCs/>
          <w:u w:val="single"/>
        </w:rPr>
        <w:t>con riserva ha</w:t>
      </w:r>
      <w:r w:rsidR="00E270DC" w:rsidRPr="00E649F9">
        <w:rPr>
          <w:rFonts w:ascii="Bookman Old Style" w:hAnsi="Bookman Old Style" w:cs="Times New Roman"/>
          <w:b/>
          <w:bCs/>
          <w:u w:val="single"/>
        </w:rPr>
        <w:t xml:space="preserve"> una </w:t>
      </w:r>
      <w:r w:rsidR="00600EB3" w:rsidRPr="00E649F9">
        <w:rPr>
          <w:rFonts w:ascii="Bookman Old Style" w:hAnsi="Bookman Old Style" w:cs="Times New Roman"/>
          <w:b/>
          <w:bCs/>
          <w:u w:val="single"/>
        </w:rPr>
        <w:t xml:space="preserve">durata non </w:t>
      </w:r>
      <w:r w:rsidR="00A92CE7">
        <w:rPr>
          <w:rFonts w:ascii="Bookman Old Style" w:hAnsi="Bookman Old Style" w:cs="Times New Roman"/>
          <w:b/>
          <w:bCs/>
          <w:u w:val="single"/>
        </w:rPr>
        <w:t xml:space="preserve">superiore al </w:t>
      </w:r>
      <w:r w:rsidR="00B96927" w:rsidRPr="00E649F9">
        <w:rPr>
          <w:rFonts w:ascii="Bookman Old Style" w:hAnsi="Bookman Old Style" w:cs="Times New Roman"/>
          <w:b/>
          <w:bCs/>
          <w:u w:val="single"/>
        </w:rPr>
        <w:t>30 giugno 2024</w:t>
      </w:r>
      <w:r w:rsidR="00223781" w:rsidRPr="00E649F9">
        <w:rPr>
          <w:rFonts w:ascii="Bookman Old Style" w:hAnsi="Bookman Old Style" w:cs="Times New Roman"/>
          <w:b/>
          <w:bCs/>
          <w:u w:val="single"/>
        </w:rPr>
        <w:t>.</w:t>
      </w:r>
    </w:p>
    <w:p w14:paraId="6ABD08A1" w14:textId="5ED89F76" w:rsidR="00945C4C" w:rsidRPr="0091701B" w:rsidRDefault="00834865" w:rsidP="00790440">
      <w:pPr>
        <w:pStyle w:val="Paragrafoelenco"/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È</w:t>
      </w:r>
      <w:r w:rsidR="005C4E1D">
        <w:rPr>
          <w:rFonts w:ascii="Bookman Old Style" w:hAnsi="Bookman Old Style" w:cs="Times New Roman"/>
        </w:rPr>
        <w:t xml:space="preserve"> previsto l’u</w:t>
      </w:r>
      <w:r w:rsidR="00945C4C" w:rsidRPr="0091701B">
        <w:rPr>
          <w:rFonts w:ascii="Bookman Old Style" w:hAnsi="Bookman Old Style" w:cs="Times New Roman"/>
        </w:rPr>
        <w:t xml:space="preserve">tilizzo </w:t>
      </w:r>
      <w:r w:rsidR="005C4E1D">
        <w:rPr>
          <w:rFonts w:ascii="Bookman Old Style" w:hAnsi="Bookman Old Style" w:cs="Times New Roman"/>
        </w:rPr>
        <w:t xml:space="preserve">di </w:t>
      </w:r>
      <w:r w:rsidR="00945C4C" w:rsidRPr="0091701B">
        <w:rPr>
          <w:rFonts w:ascii="Bookman Old Style" w:hAnsi="Bookman Old Style" w:cs="Times New Roman"/>
        </w:rPr>
        <w:t>piattaforme digital</w:t>
      </w:r>
      <w:r w:rsidR="009F7C4E" w:rsidRPr="0091701B">
        <w:rPr>
          <w:rFonts w:ascii="Bookman Old Style" w:hAnsi="Bookman Old Style" w:cs="Times New Roman"/>
        </w:rPr>
        <w:t>i</w:t>
      </w:r>
      <w:r w:rsidR="00945C4C" w:rsidRPr="0091701B">
        <w:rPr>
          <w:rFonts w:ascii="Bookman Old Style" w:hAnsi="Bookman Old Style" w:cs="Times New Roman"/>
        </w:rPr>
        <w:t xml:space="preserve"> come elemento premiante </w:t>
      </w:r>
      <w:r w:rsidR="006C4B99" w:rsidRPr="0091701B">
        <w:rPr>
          <w:rFonts w:ascii="Bookman Old Style" w:hAnsi="Bookman Old Style" w:cs="Times New Roman"/>
        </w:rPr>
        <w:t>fino al 31 dicembre 2023</w:t>
      </w:r>
      <w:r w:rsidR="008E659C" w:rsidRPr="0091701B">
        <w:rPr>
          <w:rFonts w:ascii="Bookman Old Style" w:hAnsi="Bookman Old Style" w:cs="Times New Roman"/>
        </w:rPr>
        <w:t xml:space="preserve">. Diventa requisito </w:t>
      </w:r>
      <w:r w:rsidR="00FC3020">
        <w:rPr>
          <w:rFonts w:ascii="Bookman Old Style" w:hAnsi="Bookman Old Style" w:cs="Times New Roman"/>
        </w:rPr>
        <w:t xml:space="preserve">fisso </w:t>
      </w:r>
      <w:r w:rsidR="008E659C" w:rsidRPr="0091701B">
        <w:rPr>
          <w:rFonts w:ascii="Bookman Old Style" w:hAnsi="Bookman Old Style" w:cs="Times New Roman"/>
        </w:rPr>
        <w:t xml:space="preserve">la disponibilità di piattaforme </w:t>
      </w:r>
      <w:r w:rsidR="00FC3020">
        <w:rPr>
          <w:rFonts w:ascii="Bookman Old Style" w:hAnsi="Bookman Old Style" w:cs="Times New Roman"/>
        </w:rPr>
        <w:t xml:space="preserve">digitali </w:t>
      </w:r>
      <w:r w:rsidR="008E659C" w:rsidRPr="0091701B">
        <w:rPr>
          <w:rFonts w:ascii="Bookman Old Style" w:hAnsi="Bookman Old Style" w:cs="Times New Roman"/>
        </w:rPr>
        <w:t>di approvvigionamento</w:t>
      </w:r>
      <w:r w:rsidR="00F5455C" w:rsidRPr="0091701B">
        <w:rPr>
          <w:rFonts w:ascii="Bookman Old Style" w:hAnsi="Bookman Old Style" w:cs="Times New Roman"/>
        </w:rPr>
        <w:t xml:space="preserve"> dal 1° gennaio 2024.</w:t>
      </w:r>
    </w:p>
    <w:p w14:paraId="47F07FA3" w14:textId="77777777" w:rsidR="00790440" w:rsidRPr="0091701B" w:rsidRDefault="00790440" w:rsidP="009F7C4E">
      <w:pPr>
        <w:spacing w:after="0" w:line="360" w:lineRule="auto"/>
        <w:jc w:val="both"/>
        <w:rPr>
          <w:rFonts w:ascii="Bookman Old Style" w:hAnsi="Bookman Old Style" w:cs="Times New Roman"/>
          <w:b/>
          <w:bCs/>
          <w:i/>
          <w:iCs/>
        </w:rPr>
      </w:pPr>
    </w:p>
    <w:p w14:paraId="5F281E5B" w14:textId="0B5552C9" w:rsidR="00BC6A99" w:rsidRPr="0091701B" w:rsidRDefault="00BC6A99" w:rsidP="00790440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  <w:b/>
          <w:bCs/>
          <w:i/>
          <w:iCs/>
          <w:color w:val="1F3864" w:themeColor="accent1" w:themeShade="80"/>
        </w:rPr>
        <w:t>Procedura di affidamento SA non qualificate:</w:t>
      </w:r>
      <w:r w:rsidRPr="0091701B">
        <w:rPr>
          <w:rFonts w:ascii="Bookman Old Style" w:hAnsi="Bookman Old Style" w:cs="Times New Roman"/>
        </w:rPr>
        <w:t xml:space="preserve"> Le stazioni appaltanti non qualificate consultano</w:t>
      </w:r>
      <w:r w:rsidR="00834865">
        <w:rPr>
          <w:rFonts w:ascii="Bookman Old Style" w:hAnsi="Bookman Old Style" w:cs="Times New Roman"/>
        </w:rPr>
        <w:t>,</w:t>
      </w:r>
      <w:r w:rsidRPr="0091701B">
        <w:rPr>
          <w:rFonts w:ascii="Bookman Old Style" w:hAnsi="Bookman Old Style" w:cs="Times New Roman"/>
        </w:rPr>
        <w:t xml:space="preserve"> su</w:t>
      </w:r>
      <w:r w:rsidR="004E736E" w:rsidRPr="0091701B">
        <w:rPr>
          <w:rFonts w:ascii="Bookman Old Style" w:hAnsi="Bookman Old Style" w:cs="Times New Roman"/>
        </w:rPr>
        <w:t xml:space="preserve"> </w:t>
      </w:r>
      <w:r w:rsidRPr="0091701B">
        <w:rPr>
          <w:rFonts w:ascii="Bookman Old Style" w:hAnsi="Bookman Old Style" w:cs="Times New Roman"/>
        </w:rPr>
        <w:t>una apposita sezione del sito istituzionale dell’ANAC</w:t>
      </w:r>
      <w:r w:rsidR="00834865">
        <w:rPr>
          <w:rFonts w:ascii="Bookman Old Style" w:hAnsi="Bookman Old Style" w:cs="Times New Roman"/>
        </w:rPr>
        <w:t>,</w:t>
      </w:r>
      <w:r w:rsidRPr="0091701B">
        <w:rPr>
          <w:rFonts w:ascii="Bookman Old Style" w:hAnsi="Bookman Old Style" w:cs="Times New Roman"/>
        </w:rPr>
        <w:t xml:space="preserve"> l’elenco delle stazioni appaltanti qualificate e delle centrali di committenza qualificate</w:t>
      </w:r>
      <w:r w:rsidR="00F17395" w:rsidRPr="0091701B">
        <w:rPr>
          <w:rFonts w:ascii="Bookman Old Style" w:hAnsi="Bookman Old Style" w:cs="Times New Roman"/>
        </w:rPr>
        <w:t xml:space="preserve">. In caso di </w:t>
      </w:r>
      <w:r w:rsidR="00F17395" w:rsidRPr="0091701B">
        <w:rPr>
          <w:rFonts w:ascii="Bookman Old Style" w:hAnsi="Bookman Old Style" w:cs="Times New Roman"/>
          <w:u w:val="single"/>
        </w:rPr>
        <w:t>mancata risposta</w:t>
      </w:r>
      <w:r w:rsidR="00F17395" w:rsidRPr="0091701B">
        <w:rPr>
          <w:rFonts w:ascii="Bookman Old Style" w:hAnsi="Bookman Old Style" w:cs="Times New Roman"/>
        </w:rPr>
        <w:t xml:space="preserve"> da parte di una SA/CC </w:t>
      </w:r>
      <w:r w:rsidR="00754E63" w:rsidRPr="0091701B">
        <w:rPr>
          <w:rFonts w:ascii="Bookman Old Style" w:hAnsi="Bookman Old Style" w:cs="Times New Roman"/>
        </w:rPr>
        <w:t>qualificata</w:t>
      </w:r>
      <w:r w:rsidR="00AB1C42">
        <w:rPr>
          <w:rFonts w:ascii="Bookman Old Style" w:hAnsi="Bookman Old Style" w:cs="Times New Roman"/>
        </w:rPr>
        <w:t>,</w:t>
      </w:r>
      <w:r w:rsidR="00754E63" w:rsidRPr="0091701B">
        <w:rPr>
          <w:rFonts w:ascii="Bookman Old Style" w:hAnsi="Bookman Old Style" w:cs="Times New Roman"/>
        </w:rPr>
        <w:t xml:space="preserve"> entro 10 gg dalla richiesta effettuata dalla SA non qualificata</w:t>
      </w:r>
      <w:r w:rsidR="004854C0">
        <w:rPr>
          <w:rFonts w:ascii="Bookman Old Style" w:hAnsi="Bookman Old Style" w:cs="Times New Roman"/>
        </w:rPr>
        <w:t xml:space="preserve">, tale richiesta </w:t>
      </w:r>
      <w:r w:rsidR="00754E63" w:rsidRPr="0091701B">
        <w:rPr>
          <w:rFonts w:ascii="Bookman Old Style" w:hAnsi="Bookman Old Style" w:cs="Times New Roman"/>
        </w:rPr>
        <w:t>si intende accolta.</w:t>
      </w:r>
      <w:r w:rsidR="00E271DE" w:rsidRPr="0091701B">
        <w:rPr>
          <w:rFonts w:ascii="Bookman Old Style" w:hAnsi="Bookman Old Style" w:cs="Times New Roman"/>
        </w:rPr>
        <w:t xml:space="preserve"> </w:t>
      </w:r>
      <w:r w:rsidR="00E271DE" w:rsidRPr="0091701B">
        <w:rPr>
          <w:rFonts w:ascii="Bookman Old Style" w:hAnsi="Bookman Old Style" w:cs="Times New Roman"/>
        </w:rPr>
        <w:lastRenderedPageBreak/>
        <w:t xml:space="preserve">In caso di </w:t>
      </w:r>
      <w:r w:rsidR="00E271DE" w:rsidRPr="0091701B">
        <w:rPr>
          <w:rFonts w:ascii="Bookman Old Style" w:hAnsi="Bookman Old Style" w:cs="Times New Roman"/>
          <w:u w:val="single"/>
        </w:rPr>
        <w:t>risposta negativa</w:t>
      </w:r>
      <w:r w:rsidR="00AB1C42">
        <w:rPr>
          <w:rFonts w:ascii="Bookman Old Style" w:hAnsi="Bookman Old Style" w:cs="Times New Roman"/>
          <w:u w:val="single"/>
        </w:rPr>
        <w:t>,</w:t>
      </w:r>
      <w:r w:rsidR="00E271DE" w:rsidRPr="0091701B">
        <w:rPr>
          <w:rFonts w:ascii="Bookman Old Style" w:hAnsi="Bookman Old Style" w:cs="Times New Roman"/>
        </w:rPr>
        <w:t xml:space="preserve"> la S</w:t>
      </w:r>
      <w:r w:rsidR="001D2088" w:rsidRPr="0091701B">
        <w:rPr>
          <w:rFonts w:ascii="Bookman Old Style" w:hAnsi="Bookman Old Style" w:cs="Times New Roman"/>
        </w:rPr>
        <w:t>A</w:t>
      </w:r>
      <w:r w:rsidR="00E271DE" w:rsidRPr="0091701B">
        <w:rPr>
          <w:rFonts w:ascii="Bookman Old Style" w:hAnsi="Bookman Old Style" w:cs="Times New Roman"/>
        </w:rPr>
        <w:t xml:space="preserve"> non qualificata </w:t>
      </w:r>
      <w:r w:rsidR="004854C0">
        <w:rPr>
          <w:rFonts w:ascii="Bookman Old Style" w:hAnsi="Bookman Old Style" w:cs="Times New Roman"/>
        </w:rPr>
        <w:t xml:space="preserve">si rivolge </w:t>
      </w:r>
      <w:r w:rsidR="00E271DE" w:rsidRPr="0091701B">
        <w:rPr>
          <w:rFonts w:ascii="Bookman Old Style" w:hAnsi="Bookman Old Style" w:cs="Times New Roman"/>
        </w:rPr>
        <w:t xml:space="preserve">ad ANAC </w:t>
      </w:r>
      <w:r w:rsidR="00564302" w:rsidRPr="0091701B">
        <w:rPr>
          <w:rFonts w:ascii="Bookman Old Style" w:hAnsi="Bookman Old Style" w:cs="Times New Roman"/>
        </w:rPr>
        <w:t>che, entro 15 giorni</w:t>
      </w:r>
      <w:r w:rsidR="004854C0">
        <w:rPr>
          <w:rFonts w:ascii="Bookman Old Style" w:hAnsi="Bookman Old Style" w:cs="Times New Roman"/>
        </w:rPr>
        <w:t xml:space="preserve"> dalla richiesta</w:t>
      </w:r>
      <w:r w:rsidR="004E736E" w:rsidRPr="0091701B">
        <w:rPr>
          <w:rFonts w:ascii="Bookman Old Style" w:hAnsi="Bookman Old Style" w:cs="Times New Roman"/>
        </w:rPr>
        <w:t>,</w:t>
      </w:r>
      <w:r w:rsidR="00564302" w:rsidRPr="0091701B">
        <w:rPr>
          <w:rFonts w:ascii="Bookman Old Style" w:hAnsi="Bookman Old Style" w:cs="Times New Roman"/>
        </w:rPr>
        <w:t xml:space="preserve"> assegna d’ufficio la procedura ad una S</w:t>
      </w:r>
      <w:r w:rsidR="004854C0">
        <w:rPr>
          <w:rFonts w:ascii="Bookman Old Style" w:hAnsi="Bookman Old Style" w:cs="Times New Roman"/>
        </w:rPr>
        <w:t>A</w:t>
      </w:r>
      <w:r w:rsidR="00564302" w:rsidRPr="0091701B">
        <w:rPr>
          <w:rFonts w:ascii="Bookman Old Style" w:hAnsi="Bookman Old Style" w:cs="Times New Roman"/>
        </w:rPr>
        <w:t xml:space="preserve"> qualificata. </w:t>
      </w:r>
    </w:p>
    <w:p w14:paraId="7D77F8AB" w14:textId="77777777" w:rsidR="00790440" w:rsidRPr="0091701B" w:rsidRDefault="00790440" w:rsidP="00790440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5F9E1AF0" w14:textId="77777777" w:rsidR="00790440" w:rsidRPr="0091701B" w:rsidRDefault="00790440" w:rsidP="00790440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205459A8" w14:textId="2B52D160" w:rsidR="0091701B" w:rsidRDefault="0091701B" w:rsidP="0091701B">
      <w:pPr>
        <w:spacing w:after="0" w:line="360" w:lineRule="auto"/>
        <w:jc w:val="center"/>
        <w:rPr>
          <w:rFonts w:ascii="Bookman Old Style" w:hAnsi="Bookman Old Style" w:cs="Times New Roman"/>
          <w:b/>
          <w:bCs/>
        </w:rPr>
      </w:pPr>
      <w:r w:rsidRPr="0091701B">
        <w:rPr>
          <w:rFonts w:ascii="Bookman Old Style" w:hAnsi="Bookman Old Style" w:cs="Times New Roman"/>
          <w:b/>
          <w:bCs/>
        </w:rPr>
        <w:t>PERIODO TRANSITORIO</w:t>
      </w:r>
    </w:p>
    <w:p w14:paraId="33274692" w14:textId="77777777" w:rsidR="0091701B" w:rsidRDefault="0091701B" w:rsidP="0091701B">
      <w:pPr>
        <w:spacing w:after="0" w:line="360" w:lineRule="auto"/>
        <w:jc w:val="center"/>
        <w:rPr>
          <w:rFonts w:ascii="Bookman Old Style" w:hAnsi="Bookman Old Style" w:cs="Times New Roman"/>
        </w:rPr>
      </w:pPr>
    </w:p>
    <w:p w14:paraId="6EA5FFC1" w14:textId="197C9617" w:rsidR="00401BE5" w:rsidRPr="0091701B" w:rsidRDefault="0091701B" w:rsidP="009F7C4E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u w:val="single"/>
        </w:rPr>
        <w:t>L</w:t>
      </w:r>
      <w:r w:rsidR="007A01FF" w:rsidRPr="0091701B">
        <w:rPr>
          <w:rFonts w:ascii="Bookman Old Style" w:hAnsi="Bookman Old Style" w:cs="Times New Roman"/>
          <w:u w:val="single"/>
        </w:rPr>
        <w:t xml:space="preserve">’entrata in vigore del nuovo Codice è </w:t>
      </w:r>
      <w:r w:rsidR="004854C0">
        <w:rPr>
          <w:rFonts w:ascii="Bookman Old Style" w:hAnsi="Bookman Old Style" w:cs="Times New Roman"/>
          <w:u w:val="single"/>
        </w:rPr>
        <w:t>fissata</w:t>
      </w:r>
      <w:r w:rsidR="004854C0" w:rsidRPr="0091701B">
        <w:rPr>
          <w:rFonts w:ascii="Bookman Old Style" w:hAnsi="Bookman Old Style" w:cs="Times New Roman"/>
          <w:u w:val="single"/>
        </w:rPr>
        <w:t xml:space="preserve"> </w:t>
      </w:r>
      <w:r w:rsidR="007A01FF" w:rsidRPr="0091701B">
        <w:rPr>
          <w:rFonts w:ascii="Bookman Old Style" w:hAnsi="Bookman Old Style" w:cs="Times New Roman"/>
          <w:u w:val="single"/>
        </w:rPr>
        <w:t xml:space="preserve">al </w:t>
      </w:r>
      <w:r w:rsidR="000A0F5C" w:rsidRPr="0091701B">
        <w:rPr>
          <w:rFonts w:ascii="Bookman Old Style" w:hAnsi="Bookman Old Style" w:cs="Times New Roman"/>
          <w:b/>
          <w:bCs/>
          <w:u w:val="single"/>
        </w:rPr>
        <w:t>1°</w:t>
      </w:r>
      <w:r w:rsidR="007A01FF" w:rsidRPr="0091701B">
        <w:rPr>
          <w:rFonts w:ascii="Bookman Old Style" w:hAnsi="Bookman Old Style" w:cs="Times New Roman"/>
          <w:b/>
          <w:bCs/>
          <w:u w:val="single"/>
        </w:rPr>
        <w:t xml:space="preserve"> aprile 2023</w:t>
      </w:r>
      <w:r w:rsidR="007A01FF" w:rsidRPr="0091701B">
        <w:rPr>
          <w:rFonts w:ascii="Bookman Old Style" w:hAnsi="Bookman Old Style" w:cs="Times New Roman"/>
          <w:u w:val="single"/>
        </w:rPr>
        <w:t xml:space="preserve">, ma le sue disposizioni trovano applicazione a decorrere dal </w:t>
      </w:r>
      <w:r w:rsidR="000A0F5C" w:rsidRPr="0091701B">
        <w:rPr>
          <w:rFonts w:ascii="Bookman Old Style" w:hAnsi="Bookman Old Style" w:cs="Times New Roman"/>
          <w:b/>
          <w:bCs/>
          <w:u w:val="single"/>
        </w:rPr>
        <w:t xml:space="preserve">1° </w:t>
      </w:r>
      <w:r w:rsidR="007A01FF" w:rsidRPr="0091701B">
        <w:rPr>
          <w:rFonts w:ascii="Bookman Old Style" w:hAnsi="Bookman Old Style" w:cs="Times New Roman"/>
          <w:b/>
          <w:bCs/>
          <w:u w:val="single"/>
        </w:rPr>
        <w:t>luglio 2023</w:t>
      </w:r>
      <w:r w:rsidR="007A01FF" w:rsidRPr="0091701B">
        <w:rPr>
          <w:rFonts w:ascii="Bookman Old Style" w:hAnsi="Bookman Old Style" w:cs="Times New Roman"/>
        </w:rPr>
        <w:t>.</w:t>
      </w:r>
      <w:r w:rsidR="00401BE5" w:rsidRPr="0091701B">
        <w:rPr>
          <w:rFonts w:ascii="Bookman Old Style" w:hAnsi="Bookman Old Style" w:cs="Times New Roman"/>
        </w:rPr>
        <w:t xml:space="preserve"> </w:t>
      </w:r>
    </w:p>
    <w:p w14:paraId="400ABB77" w14:textId="1EC1BF84" w:rsidR="00E400AB" w:rsidRPr="0091701B" w:rsidRDefault="004D5FA8" w:rsidP="009F7C4E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Per avvisi o bandi </w:t>
      </w:r>
      <w:r w:rsidRPr="0091701B">
        <w:rPr>
          <w:rFonts w:ascii="Bookman Old Style" w:hAnsi="Bookman Old Style" w:cs="Times New Roman"/>
          <w:u w:val="single"/>
        </w:rPr>
        <w:t xml:space="preserve">già pubblicati prima del </w:t>
      </w:r>
      <w:r w:rsidR="009D46C1" w:rsidRPr="0091701B">
        <w:rPr>
          <w:rFonts w:ascii="Bookman Old Style" w:hAnsi="Bookman Old Style" w:cs="Times New Roman"/>
          <w:u w:val="single"/>
        </w:rPr>
        <w:t xml:space="preserve">1° </w:t>
      </w:r>
      <w:r w:rsidR="00E74E0A" w:rsidRPr="0091701B">
        <w:rPr>
          <w:rFonts w:ascii="Bookman Old Style" w:hAnsi="Bookman Old Style" w:cs="Times New Roman"/>
          <w:u w:val="single"/>
        </w:rPr>
        <w:t>luglio</w:t>
      </w:r>
      <w:r w:rsidR="002517C5" w:rsidRPr="0091701B">
        <w:rPr>
          <w:rFonts w:ascii="Bookman Old Style" w:hAnsi="Bookman Old Style" w:cs="Times New Roman"/>
          <w:u w:val="single"/>
        </w:rPr>
        <w:t xml:space="preserve"> 2023</w:t>
      </w:r>
      <w:r w:rsidR="00857BCE" w:rsidRPr="0091701B">
        <w:rPr>
          <w:rFonts w:ascii="Bookman Old Style" w:hAnsi="Bookman Old Style" w:cs="Times New Roman"/>
        </w:rPr>
        <w:t xml:space="preserve"> </w:t>
      </w:r>
      <w:r w:rsidR="0046481E" w:rsidRPr="0091701B">
        <w:rPr>
          <w:rFonts w:ascii="Bookman Old Style" w:hAnsi="Bookman Old Style" w:cs="Times New Roman"/>
        </w:rPr>
        <w:t xml:space="preserve">si </w:t>
      </w:r>
      <w:r w:rsidR="00857BCE" w:rsidRPr="0091701B">
        <w:rPr>
          <w:rFonts w:ascii="Bookman Old Style" w:hAnsi="Bookman Old Style" w:cs="Times New Roman"/>
        </w:rPr>
        <w:t xml:space="preserve">continuano ad </w:t>
      </w:r>
      <w:r w:rsidR="00DD70FE" w:rsidRPr="0091701B">
        <w:rPr>
          <w:rFonts w:ascii="Bookman Old Style" w:hAnsi="Bookman Old Style" w:cs="Times New Roman"/>
        </w:rPr>
        <w:t xml:space="preserve">applicare le norme </w:t>
      </w:r>
      <w:r w:rsidR="00305D45">
        <w:rPr>
          <w:rFonts w:ascii="Bookman Old Style" w:hAnsi="Bookman Old Style" w:cs="Times New Roman"/>
        </w:rPr>
        <w:t>procedurali</w:t>
      </w:r>
      <w:r w:rsidR="000B4C32">
        <w:rPr>
          <w:rFonts w:ascii="Bookman Old Style" w:hAnsi="Bookman Old Style" w:cs="Times New Roman"/>
        </w:rPr>
        <w:t xml:space="preserve"> </w:t>
      </w:r>
      <w:r w:rsidR="000B4C32" w:rsidRPr="0091701B">
        <w:rPr>
          <w:rFonts w:ascii="Bookman Old Style" w:hAnsi="Bookman Old Style" w:cs="Times New Roman"/>
        </w:rPr>
        <w:t>di cui al decreto legislativo 18 aprile 2016, n. 50</w:t>
      </w:r>
      <w:r w:rsidR="000B4C32">
        <w:rPr>
          <w:rFonts w:ascii="Bookman Old Style" w:hAnsi="Bookman Old Style" w:cs="Times New Roman"/>
        </w:rPr>
        <w:t>.</w:t>
      </w:r>
    </w:p>
    <w:p w14:paraId="03704947" w14:textId="6D6CE55C" w:rsidR="002517C5" w:rsidRDefault="000B4C32" w:rsidP="009F7C4E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bCs/>
          <w:u w:val="single"/>
        </w:rPr>
        <w:t>F</w:t>
      </w:r>
      <w:r w:rsidR="00C324AA" w:rsidRPr="0091701B">
        <w:rPr>
          <w:rFonts w:ascii="Bookman Old Style" w:hAnsi="Bookman Old Style" w:cs="Times New Roman"/>
          <w:b/>
          <w:bCs/>
          <w:u w:val="single"/>
        </w:rPr>
        <w:t>ino al 31 dicembre 2023</w:t>
      </w:r>
      <w:r w:rsidR="00C324AA" w:rsidRPr="0091701B">
        <w:rPr>
          <w:rFonts w:ascii="Bookman Old Style" w:hAnsi="Bookman Old Style" w:cs="Times New Roman"/>
        </w:rPr>
        <w:t>,</w:t>
      </w:r>
      <w:r w:rsidR="004D5FA8" w:rsidRPr="0091701B">
        <w:rPr>
          <w:rFonts w:ascii="Bookman Old Style" w:hAnsi="Bookman Old Style" w:cs="Times New Roman"/>
        </w:rPr>
        <w:t xml:space="preserve"> </w:t>
      </w:r>
      <w:r w:rsidR="007F16D8">
        <w:rPr>
          <w:rFonts w:ascii="Bookman Old Style" w:hAnsi="Bookman Old Style" w:cs="Times New Roman"/>
        </w:rPr>
        <w:t xml:space="preserve">inoltre, </w:t>
      </w:r>
      <w:r w:rsidR="00C324AA" w:rsidRPr="0091701B">
        <w:rPr>
          <w:rFonts w:ascii="Bookman Old Style" w:hAnsi="Bookman Old Style" w:cs="Times New Roman"/>
        </w:rPr>
        <w:t>continua</w:t>
      </w:r>
      <w:r w:rsidR="00DA78D7" w:rsidRPr="0091701B">
        <w:rPr>
          <w:rFonts w:ascii="Bookman Old Style" w:hAnsi="Bookman Old Style" w:cs="Times New Roman"/>
        </w:rPr>
        <w:t>n</w:t>
      </w:r>
      <w:r w:rsidR="00C324AA" w:rsidRPr="0091701B">
        <w:rPr>
          <w:rFonts w:ascii="Bookman Old Style" w:hAnsi="Bookman Old Style" w:cs="Times New Roman"/>
        </w:rPr>
        <w:t xml:space="preserve">o ad essere in vigore </w:t>
      </w:r>
      <w:r w:rsidR="006B1955" w:rsidRPr="0091701B">
        <w:rPr>
          <w:rFonts w:ascii="Bookman Old Style" w:hAnsi="Bookman Old Style" w:cs="Times New Roman"/>
        </w:rPr>
        <w:t xml:space="preserve">e ad applicarsi </w:t>
      </w:r>
      <w:r w:rsidR="00C324AA" w:rsidRPr="0091701B">
        <w:rPr>
          <w:rFonts w:ascii="Bookman Old Style" w:hAnsi="Bookman Old Style" w:cs="Times New Roman"/>
        </w:rPr>
        <w:t xml:space="preserve">le seguenti </w:t>
      </w:r>
      <w:r w:rsidR="00C30D60" w:rsidRPr="0091701B">
        <w:rPr>
          <w:rFonts w:ascii="Bookman Old Style" w:hAnsi="Bookman Old Style" w:cs="Times New Roman"/>
        </w:rPr>
        <w:t xml:space="preserve">specifiche </w:t>
      </w:r>
      <w:r w:rsidR="00C324AA" w:rsidRPr="0091701B">
        <w:rPr>
          <w:rFonts w:ascii="Bookman Old Style" w:hAnsi="Bookman Old Style" w:cs="Times New Roman"/>
        </w:rPr>
        <w:t>norme</w:t>
      </w:r>
      <w:r>
        <w:rPr>
          <w:rFonts w:ascii="Bookman Old Style" w:hAnsi="Bookman Old Style" w:cs="Times New Roman"/>
        </w:rPr>
        <w:t xml:space="preserve"> </w:t>
      </w:r>
      <w:r w:rsidRPr="0091701B">
        <w:rPr>
          <w:rFonts w:ascii="Bookman Old Style" w:hAnsi="Bookman Old Style" w:cs="Times New Roman"/>
        </w:rPr>
        <w:t>di cui al decreto legislativo 18 aprile 2016, n. 50</w:t>
      </w:r>
      <w:r w:rsidR="00C324AA" w:rsidRPr="0091701B">
        <w:rPr>
          <w:rFonts w:ascii="Bookman Old Style" w:hAnsi="Bookman Old Style" w:cs="Times New Roman"/>
        </w:rPr>
        <w:t>:</w:t>
      </w:r>
      <w:r w:rsidR="002517C5" w:rsidRPr="0091701B">
        <w:rPr>
          <w:rFonts w:ascii="Bookman Old Style" w:hAnsi="Bookman Old Style" w:cs="Times New Roman"/>
        </w:rPr>
        <w:t xml:space="preserve"> </w:t>
      </w:r>
    </w:p>
    <w:p w14:paraId="3A4FCBDB" w14:textId="77777777" w:rsidR="001A4398" w:rsidRDefault="001A4398" w:rsidP="009F7C4E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045DD5DC" w14:textId="560D71BB" w:rsidR="001A33E8" w:rsidRDefault="0040783D" w:rsidP="0040783D">
      <w:pPr>
        <w:pStyle w:val="Paragrafoelenco"/>
        <w:numPr>
          <w:ilvl w:val="0"/>
          <w:numId w:val="20"/>
        </w:numPr>
        <w:spacing w:after="0" w:line="360" w:lineRule="auto"/>
        <w:ind w:left="993" w:hanging="567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-   </w:t>
      </w:r>
      <w:r w:rsidR="001A33E8" w:rsidRPr="001A33E8">
        <w:rPr>
          <w:rFonts w:ascii="Bookman Old Style" w:hAnsi="Bookman Old Style" w:cs="Times New Roman"/>
        </w:rPr>
        <w:t>Articolo 70 - Avvisi di preinformazione</w:t>
      </w:r>
    </w:p>
    <w:p w14:paraId="19807B21" w14:textId="16998328" w:rsidR="001A33E8" w:rsidRPr="0040783D" w:rsidRDefault="001A33E8" w:rsidP="0040783D">
      <w:pPr>
        <w:pStyle w:val="Paragrafoelenco"/>
        <w:numPr>
          <w:ilvl w:val="0"/>
          <w:numId w:val="22"/>
        </w:numPr>
        <w:spacing w:after="0" w:line="360" w:lineRule="auto"/>
        <w:ind w:left="1276"/>
        <w:jc w:val="both"/>
        <w:rPr>
          <w:rFonts w:ascii="Bookman Old Style" w:hAnsi="Bookman Old Style" w:cs="Times New Roman"/>
        </w:rPr>
      </w:pPr>
      <w:r w:rsidRPr="0040783D">
        <w:rPr>
          <w:rFonts w:ascii="Bookman Old Style" w:hAnsi="Bookman Old Style" w:cs="Times New Roman"/>
        </w:rPr>
        <w:t xml:space="preserve">Articolo 72 - Redazione e modalità di pubblicazione dei bandi e degli avvisi </w:t>
      </w:r>
    </w:p>
    <w:p w14:paraId="7100713C" w14:textId="7527D156" w:rsidR="001A33E8" w:rsidRPr="0040783D" w:rsidRDefault="001A33E8" w:rsidP="0040783D">
      <w:pPr>
        <w:pStyle w:val="Paragrafoelenco"/>
        <w:numPr>
          <w:ilvl w:val="0"/>
          <w:numId w:val="22"/>
        </w:numPr>
        <w:spacing w:after="0" w:line="360" w:lineRule="auto"/>
        <w:ind w:left="1276"/>
        <w:jc w:val="both"/>
        <w:rPr>
          <w:rFonts w:ascii="Bookman Old Style" w:hAnsi="Bookman Old Style" w:cs="Times New Roman"/>
        </w:rPr>
      </w:pPr>
      <w:r w:rsidRPr="0040783D">
        <w:rPr>
          <w:rFonts w:ascii="Bookman Old Style" w:hAnsi="Bookman Old Style" w:cs="Times New Roman"/>
        </w:rPr>
        <w:t>Articolo 73 - Pubblicazione a livello nazionale</w:t>
      </w:r>
    </w:p>
    <w:p w14:paraId="3904F93E" w14:textId="21730910" w:rsidR="001A33E8" w:rsidRPr="0040783D" w:rsidRDefault="001A33E8" w:rsidP="0040783D">
      <w:pPr>
        <w:pStyle w:val="Paragrafoelenco"/>
        <w:numPr>
          <w:ilvl w:val="0"/>
          <w:numId w:val="22"/>
        </w:numPr>
        <w:spacing w:after="0" w:line="360" w:lineRule="auto"/>
        <w:ind w:left="1276"/>
        <w:jc w:val="both"/>
        <w:rPr>
          <w:rFonts w:ascii="Bookman Old Style" w:hAnsi="Bookman Old Style" w:cs="Times New Roman"/>
        </w:rPr>
      </w:pPr>
      <w:r w:rsidRPr="0040783D">
        <w:rPr>
          <w:rFonts w:ascii="Bookman Old Style" w:hAnsi="Bookman Old Style" w:cs="Times New Roman"/>
        </w:rPr>
        <w:t xml:space="preserve">Articolo 127, comma 2 - Pubblicità e avviso periodico indicativo </w:t>
      </w:r>
    </w:p>
    <w:p w14:paraId="7AD35C15" w14:textId="28C7803F" w:rsidR="001A33E8" w:rsidRPr="0040783D" w:rsidRDefault="001A33E8" w:rsidP="0040783D">
      <w:pPr>
        <w:pStyle w:val="Paragrafoelenco"/>
        <w:numPr>
          <w:ilvl w:val="0"/>
          <w:numId w:val="22"/>
        </w:numPr>
        <w:spacing w:after="0" w:line="360" w:lineRule="auto"/>
        <w:ind w:left="1276"/>
        <w:jc w:val="both"/>
        <w:rPr>
          <w:rFonts w:ascii="Bookman Old Style" w:hAnsi="Bookman Old Style" w:cs="Times New Roman"/>
        </w:rPr>
      </w:pPr>
      <w:r w:rsidRPr="0040783D">
        <w:rPr>
          <w:rFonts w:ascii="Bookman Old Style" w:hAnsi="Bookman Old Style" w:cs="Times New Roman"/>
        </w:rPr>
        <w:t>Articolo 129, comma 4 - Bandi di gara e avvisi relativi agli appalti aggiudicati</w:t>
      </w:r>
    </w:p>
    <w:p w14:paraId="54232F8F" w14:textId="77777777" w:rsidR="001A33E8" w:rsidRPr="001A33E8" w:rsidRDefault="001A33E8" w:rsidP="001A33E8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</w:p>
    <w:p w14:paraId="1E7498F7" w14:textId="79B3E38E" w:rsidR="00C17C56" w:rsidRPr="00C17C56" w:rsidRDefault="00D00133" w:rsidP="00C17C56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  <w:r w:rsidRPr="00A54198">
        <w:rPr>
          <w:rFonts w:ascii="Bookman Old Style" w:hAnsi="Bookman Old Style" w:cs="Times New Roman"/>
        </w:rPr>
        <w:t>il</w:t>
      </w:r>
      <w:r w:rsidR="007519DD" w:rsidRPr="002F60E8">
        <w:rPr>
          <w:rFonts w:ascii="Bookman Old Style" w:hAnsi="Bookman Old Style" w:cs="Times New Roman"/>
        </w:rPr>
        <w:t xml:space="preserve"> decreto del Ministero delle infrastrutture e dei trasporti</w:t>
      </w:r>
      <w:r w:rsidR="0047166C">
        <w:rPr>
          <w:rFonts w:ascii="Bookman Old Style" w:hAnsi="Bookman Old Style" w:cs="Times New Roman"/>
        </w:rPr>
        <w:t>,</w:t>
      </w:r>
      <w:r w:rsidR="007519DD" w:rsidRPr="002F60E8">
        <w:rPr>
          <w:rFonts w:ascii="Bookman Old Style" w:hAnsi="Bookman Old Style" w:cs="Times New Roman"/>
        </w:rPr>
        <w:t xml:space="preserve"> adottato in attuazione dell’articolo 73, comma 4 del medesimo codice di cui al decreto legislativo 18 aprile 2016, n. 50 del 2016</w:t>
      </w:r>
      <w:r w:rsidR="0047166C">
        <w:rPr>
          <w:rFonts w:ascii="Bookman Old Style" w:hAnsi="Bookman Old Style" w:cs="Times New Roman"/>
        </w:rPr>
        <w:t xml:space="preserve"> e</w:t>
      </w:r>
      <w:r w:rsidR="0045286B" w:rsidRPr="002F60E8">
        <w:rPr>
          <w:rFonts w:ascii="Bookman Old Style" w:hAnsi="Bookman Old Style" w:cs="Times New Roman"/>
        </w:rPr>
        <w:t xml:space="preserve"> </w:t>
      </w:r>
      <w:r w:rsidR="007976F8" w:rsidRPr="002F60E8">
        <w:rPr>
          <w:rFonts w:ascii="Bookman Old Style" w:hAnsi="Bookman Old Style" w:cs="Times New Roman"/>
        </w:rPr>
        <w:t>recante “Definizione degli indirizzi generali di pubblicazione degli avvisi e dei bandi di gara</w:t>
      </w:r>
      <w:r w:rsidR="00C17C56">
        <w:rPr>
          <w:rFonts w:ascii="Bookman Old Style" w:hAnsi="Bookman Old Style" w:cs="Times New Roman"/>
        </w:rPr>
        <w:t>”.</w:t>
      </w:r>
    </w:p>
    <w:p w14:paraId="3F58235A" w14:textId="052DC204" w:rsidR="006B1955" w:rsidRDefault="00C17C56" w:rsidP="00C17C56">
      <w:pPr>
        <w:pStyle w:val="Paragrafoelenco"/>
        <w:spacing w:after="0" w:line="360" w:lineRule="auto"/>
        <w:ind w:left="785"/>
        <w:jc w:val="both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</w:rPr>
        <w:t>C</w:t>
      </w:r>
      <w:r w:rsidR="00456C60" w:rsidRPr="00C17C56">
        <w:rPr>
          <w:rFonts w:ascii="Bookman Old Style" w:hAnsi="Bookman Old Style" w:cs="Times New Roman"/>
        </w:rPr>
        <w:t>ontinuano</w:t>
      </w:r>
      <w:r>
        <w:rPr>
          <w:rFonts w:ascii="Bookman Old Style" w:hAnsi="Bookman Old Style" w:cs="Times New Roman"/>
        </w:rPr>
        <w:t xml:space="preserve"> a trovare attuazione le norme</w:t>
      </w:r>
      <w:r w:rsidR="007C18E4">
        <w:rPr>
          <w:rFonts w:ascii="Bookman Old Style" w:hAnsi="Bookman Old Style" w:cs="Times New Roman"/>
        </w:rPr>
        <w:t xml:space="preserve"> in materia di </w:t>
      </w:r>
      <w:r w:rsidR="00456C60" w:rsidRPr="00C17C56">
        <w:rPr>
          <w:rFonts w:ascii="Bookman Old Style" w:hAnsi="Bookman Old Style" w:cs="Times New Roman"/>
        </w:rPr>
        <w:t>pubblicazioni sulla piattaforma del Servizio contratti pubblici del Ministero delle infrastrutture e dei trasporti</w:t>
      </w:r>
      <w:r w:rsidR="0047166C">
        <w:rPr>
          <w:rFonts w:ascii="Bookman Old Style" w:hAnsi="Bookman Old Style" w:cs="Times New Roman"/>
        </w:rPr>
        <w:t>,</w:t>
      </w:r>
      <w:r w:rsidR="00456C60" w:rsidRPr="00C17C56">
        <w:rPr>
          <w:rFonts w:ascii="Bookman Old Style" w:hAnsi="Bookman Old Style" w:cs="Times New Roman"/>
        </w:rPr>
        <w:t xml:space="preserve"> realizzata in collaborazione con le regioni e province autonome di cui all’Allegato B del decreto legislativo 14 marzo 2013, n. 33</w:t>
      </w:r>
      <w:r w:rsidR="0046481E" w:rsidRPr="00C17C56">
        <w:rPr>
          <w:rFonts w:ascii="Bookman Old Style" w:hAnsi="Bookman Old Style" w:cs="Times New Roman"/>
        </w:rPr>
        <w:t>,</w:t>
      </w:r>
      <w:r w:rsidR="00456C60" w:rsidRPr="00C17C56">
        <w:rPr>
          <w:rFonts w:ascii="Bookman Old Style" w:hAnsi="Bookman Old Style" w:cs="Times New Roman"/>
        </w:rPr>
        <w:t xml:space="preserve"> ai sensi degli articoli 66, 122 e 124 del decreto legislativo 12 aprile 2006 n. 163.</w:t>
      </w:r>
      <w:r w:rsidR="00456C60" w:rsidRPr="00C17C56">
        <w:rPr>
          <w:rFonts w:ascii="Bookman Old Style" w:hAnsi="Bookman Old Style" w:cs="Times New Roman"/>
          <w:b/>
          <w:bCs/>
        </w:rPr>
        <w:t xml:space="preserve"> </w:t>
      </w:r>
    </w:p>
    <w:p w14:paraId="560E9F18" w14:textId="77777777" w:rsidR="007C18E4" w:rsidRPr="00C17C56" w:rsidRDefault="007C18E4" w:rsidP="00C17C56">
      <w:pPr>
        <w:pStyle w:val="Paragrafoelenco"/>
        <w:spacing w:after="0" w:line="360" w:lineRule="auto"/>
        <w:ind w:left="785"/>
        <w:jc w:val="both"/>
        <w:rPr>
          <w:rFonts w:ascii="Bookman Old Style" w:hAnsi="Bookman Old Style" w:cs="Times New Roman"/>
          <w:b/>
          <w:bCs/>
        </w:rPr>
      </w:pPr>
    </w:p>
    <w:p w14:paraId="6D54AB93" w14:textId="46A148A5" w:rsidR="00D202EE" w:rsidRPr="0091701B" w:rsidRDefault="00A4230A" w:rsidP="00A93018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u w:val="single"/>
        </w:rPr>
        <w:t>Sempre f</w:t>
      </w:r>
      <w:r w:rsidRPr="0091701B">
        <w:rPr>
          <w:rFonts w:ascii="Bookman Old Style" w:hAnsi="Bookman Old Style" w:cs="Times New Roman"/>
          <w:b/>
          <w:bCs/>
          <w:u w:val="single"/>
        </w:rPr>
        <w:t>ino al 31 dicembre 2023</w:t>
      </w:r>
      <w:r>
        <w:rPr>
          <w:rFonts w:ascii="Bookman Old Style" w:hAnsi="Bookman Old Style" w:cs="Times New Roman"/>
          <w:b/>
          <w:bCs/>
          <w:u w:val="single"/>
        </w:rPr>
        <w:t>, s</w:t>
      </w:r>
      <w:r w:rsidR="0076787F">
        <w:rPr>
          <w:rFonts w:ascii="Bookman Old Style" w:hAnsi="Bookman Old Style" w:cs="Times New Roman"/>
          <w:b/>
          <w:bCs/>
          <w:u w:val="single"/>
        </w:rPr>
        <w:t xml:space="preserve">olo </w:t>
      </w:r>
      <w:r w:rsidR="00D202EE" w:rsidRPr="0091701B">
        <w:rPr>
          <w:rFonts w:ascii="Bookman Old Style" w:hAnsi="Bookman Old Style" w:cs="Times New Roman"/>
          <w:b/>
          <w:bCs/>
          <w:u w:val="single"/>
        </w:rPr>
        <w:t>per lo svolgimento delle seguenti attività:</w:t>
      </w:r>
    </w:p>
    <w:p w14:paraId="644716F1" w14:textId="77777777" w:rsidR="00D202EE" w:rsidRPr="0091701B" w:rsidRDefault="00D202EE" w:rsidP="00D202EE">
      <w:pPr>
        <w:pStyle w:val="Paragrafoelenco"/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a) redazione o acquisizione degli atti relativi alle procedure di programmazione, progettazione, pubblicazione, affidamento ed esecuzione dei contratti;</w:t>
      </w:r>
    </w:p>
    <w:p w14:paraId="1648152A" w14:textId="77777777" w:rsidR="00D202EE" w:rsidRPr="0091701B" w:rsidRDefault="00D202EE" w:rsidP="00D202EE">
      <w:pPr>
        <w:pStyle w:val="Paragrafoelenco"/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b) trasmissione dei dati e documenti relativi alle procedure di cui alla lettera a);</w:t>
      </w:r>
    </w:p>
    <w:p w14:paraId="6660982A" w14:textId="77777777" w:rsidR="00D202EE" w:rsidRPr="0091701B" w:rsidRDefault="00D202EE" w:rsidP="00D202EE">
      <w:pPr>
        <w:pStyle w:val="Paragrafoelenco"/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c) accesso alla documentazione di gara;</w:t>
      </w:r>
    </w:p>
    <w:p w14:paraId="22BA6E08" w14:textId="77777777" w:rsidR="00D202EE" w:rsidRPr="0091701B" w:rsidRDefault="00D202EE" w:rsidP="00D202EE">
      <w:pPr>
        <w:pStyle w:val="Paragrafoelenco"/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d) presentazione del documento di gara unico europeo;</w:t>
      </w:r>
    </w:p>
    <w:p w14:paraId="651BFC86" w14:textId="77777777" w:rsidR="00D202EE" w:rsidRPr="0091701B" w:rsidRDefault="00D202EE" w:rsidP="00D202EE">
      <w:pPr>
        <w:pStyle w:val="Paragrafoelenco"/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e) presentazione delle offerte;</w:t>
      </w:r>
    </w:p>
    <w:p w14:paraId="7DB395CA" w14:textId="77777777" w:rsidR="00D202EE" w:rsidRPr="0091701B" w:rsidRDefault="00D202EE" w:rsidP="00D202EE">
      <w:pPr>
        <w:pStyle w:val="Paragrafoelenco"/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f) apertura e la conservazione del fascicolo di gara;</w:t>
      </w:r>
    </w:p>
    <w:p w14:paraId="6D8662E9" w14:textId="077923F9" w:rsidR="00D202EE" w:rsidRPr="0091701B" w:rsidRDefault="00D202EE" w:rsidP="00D202EE">
      <w:pPr>
        <w:pStyle w:val="Paragrafoelenco"/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g) controllo tecnico, contabile e amministrativo dei contratti anche in fase di esecuzione e la gestione delle garanzie</w:t>
      </w:r>
    </w:p>
    <w:p w14:paraId="6F4AF4EF" w14:textId="2DB4A6A1" w:rsidR="00E80CB8" w:rsidRPr="0091701B" w:rsidRDefault="00E80CB8" w:rsidP="00D202EE">
      <w:pPr>
        <w:pStyle w:val="Paragrafoelenco"/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  <w:r w:rsidRPr="0076468E">
        <w:rPr>
          <w:rFonts w:ascii="Bookman Old Style" w:hAnsi="Bookman Old Style" w:cs="Times New Roman"/>
          <w:b/>
          <w:bCs/>
        </w:rPr>
        <w:t>continuano ad applicarsi</w:t>
      </w:r>
      <w:r w:rsidRPr="0091701B">
        <w:rPr>
          <w:rFonts w:ascii="Bookman Old Style" w:hAnsi="Bookman Old Style" w:cs="Times New Roman"/>
        </w:rPr>
        <w:t xml:space="preserve">, </w:t>
      </w:r>
      <w:r w:rsidR="00D202EE" w:rsidRPr="0076468E">
        <w:rPr>
          <w:rFonts w:ascii="Bookman Old Style" w:hAnsi="Bookman Old Style" w:cs="Times New Roman"/>
          <w:u w:val="single"/>
        </w:rPr>
        <w:t xml:space="preserve">i seguenti </w:t>
      </w:r>
      <w:r w:rsidRPr="0076468E">
        <w:rPr>
          <w:rFonts w:ascii="Bookman Old Style" w:hAnsi="Bookman Old Style" w:cs="Times New Roman"/>
          <w:u w:val="single"/>
        </w:rPr>
        <w:t>articoli del codice dei contratti pubblici, di cui al decreto legislativo 18 aprile 2016, n. 50</w:t>
      </w:r>
      <w:r w:rsidRPr="0091701B">
        <w:rPr>
          <w:rFonts w:ascii="Bookman Old Style" w:hAnsi="Bookman Old Style" w:cs="Times New Roman"/>
        </w:rPr>
        <w:t>:</w:t>
      </w:r>
    </w:p>
    <w:p w14:paraId="63CE2906" w14:textId="77777777" w:rsidR="00211978" w:rsidRPr="0091701B" w:rsidRDefault="00E80CB8" w:rsidP="0021197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Articolo 21, comma 7- Programma degli acquisti e programmazione dei lavori pubblici</w:t>
      </w:r>
    </w:p>
    <w:p w14:paraId="537BD445" w14:textId="77777777" w:rsidR="00211978" w:rsidRPr="0091701B" w:rsidRDefault="00211978" w:rsidP="0021197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</w:t>
      </w:r>
      <w:r w:rsidR="00E80CB8" w:rsidRPr="0091701B">
        <w:rPr>
          <w:rFonts w:ascii="Bookman Old Style" w:hAnsi="Bookman Old Style" w:cs="Times New Roman"/>
        </w:rPr>
        <w:t>rticolo 29 - Principi in materia di trasparenza</w:t>
      </w:r>
    </w:p>
    <w:p w14:paraId="157899C8" w14:textId="77777777" w:rsidR="00211978" w:rsidRPr="0091701B" w:rsidRDefault="00E80CB8" w:rsidP="0021197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Articolo 40 - Obbligo di uso dei mezzi di comunicazione elettronici nello svolgimento di procedure di aggiudicazione</w:t>
      </w:r>
    </w:p>
    <w:p w14:paraId="5AF8C9D6" w14:textId="77777777" w:rsidR="00211978" w:rsidRPr="0091701B" w:rsidRDefault="00E80CB8" w:rsidP="0021197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Articolo 41 comma 2-bis - Misure di semplificazione delle procedure di gara svolte da centrali di committenza</w:t>
      </w:r>
    </w:p>
    <w:p w14:paraId="49C2FDCE" w14:textId="77777777" w:rsidR="00211978" w:rsidRPr="0091701B" w:rsidRDefault="00E80CB8" w:rsidP="0021197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Articolo 44 - Digitalizzazione delle procedure</w:t>
      </w:r>
    </w:p>
    <w:p w14:paraId="7FC2DC25" w14:textId="77777777" w:rsidR="00211978" w:rsidRPr="0091701B" w:rsidRDefault="00E80CB8" w:rsidP="0021197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Articolo 52 - Regole applicabili alle comunicazioni</w:t>
      </w:r>
    </w:p>
    <w:p w14:paraId="1EF33BC9" w14:textId="77777777" w:rsidR="00211978" w:rsidRPr="0091701B" w:rsidRDefault="00E80CB8" w:rsidP="0021197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Articolo 53 - Accesso agli atti e riservatezza</w:t>
      </w:r>
    </w:p>
    <w:p w14:paraId="6B0C6635" w14:textId="77777777" w:rsidR="00211978" w:rsidRPr="0091701B" w:rsidRDefault="00E80CB8" w:rsidP="0021197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Articolo 58 - Procedure svolte attraverso piattaforme telematiche di negoziazione</w:t>
      </w:r>
    </w:p>
    <w:p w14:paraId="70E81113" w14:textId="77777777" w:rsidR="00211978" w:rsidRPr="0091701B" w:rsidRDefault="00E80CB8" w:rsidP="0021197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74 - Disponibilità elettronica dei documenti di gara </w:t>
      </w:r>
    </w:p>
    <w:p w14:paraId="3E424FB1" w14:textId="77777777" w:rsidR="00211978" w:rsidRPr="0091701B" w:rsidRDefault="00E80CB8" w:rsidP="0021197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Articolo 81 - Documentazione di gara</w:t>
      </w:r>
    </w:p>
    <w:p w14:paraId="6CE6143D" w14:textId="77777777" w:rsidR="00211978" w:rsidRPr="0091701B" w:rsidRDefault="00E80CB8" w:rsidP="0021197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Articolo 85 - Documento di gara unico europeo</w:t>
      </w:r>
    </w:p>
    <w:p w14:paraId="550589D6" w14:textId="5699CBAB" w:rsidR="00211978" w:rsidRPr="0091701B" w:rsidRDefault="00E80CB8" w:rsidP="0021197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105, comma 7 </w:t>
      </w:r>
      <w:r w:rsidR="00211978" w:rsidRPr="0091701B">
        <w:rPr>
          <w:rFonts w:ascii="Bookman Old Style" w:hAnsi="Bookman Old Style" w:cs="Times New Roman"/>
        </w:rPr>
        <w:t>–</w:t>
      </w:r>
      <w:r w:rsidRPr="0091701B">
        <w:rPr>
          <w:rFonts w:ascii="Bookman Old Style" w:hAnsi="Bookman Old Style" w:cs="Times New Roman"/>
        </w:rPr>
        <w:t xml:space="preserve"> Subappalto</w:t>
      </w:r>
      <w:r w:rsidR="007B4B49">
        <w:rPr>
          <w:rFonts w:ascii="Bookman Old Style" w:hAnsi="Bookman Old Style" w:cs="Times New Roman"/>
        </w:rPr>
        <w:t xml:space="preserve"> (deposito </w:t>
      </w:r>
      <w:r w:rsidR="00EC3B48">
        <w:rPr>
          <w:rFonts w:ascii="Bookman Old Style" w:hAnsi="Bookman Old Style" w:cs="Times New Roman"/>
        </w:rPr>
        <w:t xml:space="preserve">del contratto di subappalto presso la SA </w:t>
      </w:r>
      <w:r w:rsidR="007B4B49">
        <w:rPr>
          <w:rFonts w:ascii="Bookman Old Style" w:hAnsi="Bookman Old Style" w:cs="Times New Roman"/>
        </w:rPr>
        <w:t>da parte dell’affidatario)</w:t>
      </w:r>
    </w:p>
    <w:p w14:paraId="63530301" w14:textId="6FA696A4" w:rsidR="00211978" w:rsidRPr="0091701B" w:rsidRDefault="00E80CB8" w:rsidP="0021197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Articolo 111, comma 2-bis - Controllo tecnico, contabile e amministrativo</w:t>
      </w:r>
      <w:r w:rsidR="000443CE">
        <w:rPr>
          <w:rFonts w:ascii="Bookman Old Style" w:hAnsi="Bookman Old Style" w:cs="Times New Roman"/>
        </w:rPr>
        <w:t xml:space="preserve"> </w:t>
      </w:r>
      <w:r w:rsidR="00CC2BCD">
        <w:rPr>
          <w:rFonts w:ascii="Bookman Old Style" w:hAnsi="Bookman Old Style" w:cs="Times New Roman"/>
        </w:rPr>
        <w:t>(</w:t>
      </w:r>
      <w:r w:rsidR="00A17283">
        <w:rPr>
          <w:rFonts w:ascii="Bookman Old Style" w:hAnsi="Bookman Old Style" w:cs="Times New Roman"/>
        </w:rPr>
        <w:t xml:space="preserve">metodologie e </w:t>
      </w:r>
      <w:r w:rsidR="00CC2BCD">
        <w:rPr>
          <w:rFonts w:ascii="Bookman Old Style" w:hAnsi="Bookman Old Style" w:cs="Times New Roman"/>
        </w:rPr>
        <w:t xml:space="preserve">strumentazioni elettroniche </w:t>
      </w:r>
      <w:r w:rsidR="00912CFC">
        <w:rPr>
          <w:rFonts w:ascii="Bookman Old Style" w:hAnsi="Bookman Old Style" w:cs="Times New Roman"/>
        </w:rPr>
        <w:t xml:space="preserve">per collegamento </w:t>
      </w:r>
      <w:r w:rsidR="00A17283">
        <w:rPr>
          <w:rFonts w:ascii="Bookman Old Style" w:hAnsi="Bookman Old Style" w:cs="Times New Roman"/>
        </w:rPr>
        <w:t xml:space="preserve">a </w:t>
      </w:r>
      <w:r w:rsidR="00CC2BCD">
        <w:rPr>
          <w:rFonts w:ascii="Bookman Old Style" w:hAnsi="Bookman Old Style" w:cs="Times New Roman"/>
        </w:rPr>
        <w:t>banca dati ANA</w:t>
      </w:r>
      <w:r w:rsidR="00912CFC">
        <w:rPr>
          <w:rFonts w:ascii="Bookman Old Style" w:hAnsi="Bookman Old Style" w:cs="Times New Roman"/>
        </w:rPr>
        <w:t>C)</w:t>
      </w:r>
    </w:p>
    <w:p w14:paraId="6DC0CE3C" w14:textId="37FE872A" w:rsidR="00211978" w:rsidRPr="0091701B" w:rsidRDefault="00E80CB8" w:rsidP="0021197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Articolo 213</w:t>
      </w:r>
      <w:r w:rsidR="0054785D" w:rsidRPr="0091701B">
        <w:rPr>
          <w:rFonts w:ascii="Bookman Old Style" w:hAnsi="Bookman Old Style" w:cs="Times New Roman"/>
        </w:rPr>
        <w:t>,</w:t>
      </w:r>
      <w:r w:rsidRPr="0091701B">
        <w:rPr>
          <w:rFonts w:ascii="Bookman Old Style" w:hAnsi="Bookman Old Style" w:cs="Times New Roman"/>
        </w:rPr>
        <w:t xml:space="preserve"> commi 8, 9 e 10 - Autorità Nazionale Anticorruzione</w:t>
      </w:r>
      <w:r w:rsidR="000443CE">
        <w:rPr>
          <w:rFonts w:ascii="Bookman Old Style" w:hAnsi="Bookman Old Style" w:cs="Times New Roman"/>
        </w:rPr>
        <w:t xml:space="preserve"> (Gestione da parte dell’ANAC della banca dati </w:t>
      </w:r>
      <w:r w:rsidR="00614348" w:rsidRPr="00614348">
        <w:rPr>
          <w:rFonts w:ascii="Bookman Old Style" w:hAnsi="Bookman Old Style" w:cs="Times New Roman"/>
        </w:rPr>
        <w:t>Nazionale dei Contratti Pubblic</w:t>
      </w:r>
      <w:r w:rsidR="00413399">
        <w:rPr>
          <w:rFonts w:ascii="Bookman Old Style" w:hAnsi="Bookman Old Style" w:cs="Times New Roman"/>
        </w:rPr>
        <w:t>i</w:t>
      </w:r>
      <w:r w:rsidR="00614348">
        <w:rPr>
          <w:rFonts w:ascii="Bookman Old Style" w:hAnsi="Bookman Old Style" w:cs="Times New Roman"/>
        </w:rPr>
        <w:t>)</w:t>
      </w:r>
    </w:p>
    <w:p w14:paraId="2D648A16" w14:textId="6CAA3D3C" w:rsidR="00C70D0D" w:rsidRPr="0091701B" w:rsidRDefault="00E80CB8" w:rsidP="0021197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Articolo 214, comma 6 - Ministero delle infrastrutture e dei trasporti e struttura tecnica di missione</w:t>
      </w:r>
      <w:r w:rsidR="00E664A7">
        <w:rPr>
          <w:rFonts w:ascii="Bookman Old Style" w:hAnsi="Bookman Old Style" w:cs="Times New Roman"/>
        </w:rPr>
        <w:t xml:space="preserve"> (abilitazione</w:t>
      </w:r>
      <w:r w:rsidR="00413399">
        <w:rPr>
          <w:rFonts w:ascii="Bookman Old Style" w:hAnsi="Bookman Old Style" w:cs="Times New Roman"/>
        </w:rPr>
        <w:t xml:space="preserve"> da parte del MIT di</w:t>
      </w:r>
      <w:r w:rsidR="00E664A7">
        <w:rPr>
          <w:rFonts w:ascii="Bookman Old Style" w:hAnsi="Bookman Old Style" w:cs="Times New Roman"/>
        </w:rPr>
        <w:t xml:space="preserve"> commissari straordinari nel caso di inadempienza dei soggetti competenti).</w:t>
      </w:r>
    </w:p>
    <w:p w14:paraId="5B45C2A1" w14:textId="1752B093" w:rsidR="002B216F" w:rsidRPr="005C5E89" w:rsidRDefault="00211978" w:rsidP="00C70D0D">
      <w:pPr>
        <w:spacing w:after="0" w:line="360" w:lineRule="auto"/>
        <w:ind w:left="709"/>
        <w:jc w:val="both"/>
        <w:rPr>
          <w:rFonts w:ascii="Bookman Old Style" w:hAnsi="Bookman Old Style" w:cs="Times New Roman"/>
          <w:u w:val="single"/>
        </w:rPr>
      </w:pPr>
      <w:r w:rsidRPr="0091701B">
        <w:rPr>
          <w:rFonts w:ascii="Bookman Old Style" w:hAnsi="Bookman Old Style" w:cs="Times New Roman"/>
        </w:rPr>
        <w:t xml:space="preserve">Conseguentemente, </w:t>
      </w:r>
      <w:r w:rsidRPr="0091701B">
        <w:rPr>
          <w:rFonts w:ascii="Bookman Old Style" w:hAnsi="Bookman Old Style" w:cs="Times New Roman"/>
          <w:b/>
          <w:bCs/>
        </w:rPr>
        <w:t>d</w:t>
      </w:r>
      <w:r w:rsidR="00456C60" w:rsidRPr="0091701B">
        <w:rPr>
          <w:rFonts w:ascii="Bookman Old Style" w:hAnsi="Bookman Old Style" w:cs="Times New Roman"/>
          <w:b/>
          <w:bCs/>
        </w:rPr>
        <w:t>al 1° gennaio 2024</w:t>
      </w:r>
      <w:r w:rsidR="00456C60" w:rsidRPr="0091701B">
        <w:rPr>
          <w:rFonts w:ascii="Bookman Old Style" w:hAnsi="Bookman Old Style" w:cs="Times New Roman"/>
        </w:rPr>
        <w:t xml:space="preserve">, </w:t>
      </w:r>
      <w:r w:rsidR="00C70D0D" w:rsidRPr="005C5E89">
        <w:rPr>
          <w:rFonts w:ascii="Bookman Old Style" w:hAnsi="Bookman Old Style" w:cs="Times New Roman"/>
          <w:u w:val="single"/>
        </w:rPr>
        <w:t>anche per le succitate attività,</w:t>
      </w:r>
      <w:r w:rsidR="00C70D0D" w:rsidRPr="005C5E89">
        <w:rPr>
          <w:rFonts w:ascii="Bookman Old Style" w:hAnsi="Bookman Old Style" w:cs="Times New Roman"/>
          <w:b/>
          <w:bCs/>
          <w:u w:val="single"/>
        </w:rPr>
        <w:t xml:space="preserve"> </w:t>
      </w:r>
      <w:r w:rsidR="00456C60" w:rsidRPr="005C5E89">
        <w:rPr>
          <w:rFonts w:ascii="Bookman Old Style" w:hAnsi="Bookman Old Style" w:cs="Times New Roman"/>
          <w:u w:val="single"/>
        </w:rPr>
        <w:t xml:space="preserve">acquistano </w:t>
      </w:r>
      <w:r w:rsidR="00C70D0D" w:rsidRPr="005C5E89">
        <w:rPr>
          <w:rFonts w:ascii="Bookman Old Style" w:hAnsi="Bookman Old Style" w:cs="Times New Roman"/>
          <w:u w:val="single"/>
        </w:rPr>
        <w:t xml:space="preserve">invece </w:t>
      </w:r>
      <w:r w:rsidR="00456C60" w:rsidRPr="005C5E89">
        <w:rPr>
          <w:rFonts w:ascii="Bookman Old Style" w:hAnsi="Bookman Old Style" w:cs="Times New Roman"/>
          <w:u w:val="single"/>
        </w:rPr>
        <w:t xml:space="preserve">efficacia </w:t>
      </w:r>
      <w:r w:rsidR="002F1705" w:rsidRPr="005C5E89">
        <w:rPr>
          <w:rFonts w:ascii="Bookman Old Style" w:hAnsi="Bookman Old Style" w:cs="Times New Roman"/>
          <w:u w:val="single"/>
        </w:rPr>
        <w:t>le disposizioni de</w:t>
      </w:r>
      <w:r w:rsidR="00DD6D3F" w:rsidRPr="005C5E89">
        <w:rPr>
          <w:rFonts w:ascii="Bookman Old Style" w:hAnsi="Bookman Old Style" w:cs="Times New Roman"/>
          <w:u w:val="single"/>
        </w:rPr>
        <w:t xml:space="preserve">i seguenti </w:t>
      </w:r>
      <w:r w:rsidR="00456C60" w:rsidRPr="005C5E89">
        <w:rPr>
          <w:rFonts w:ascii="Bookman Old Style" w:hAnsi="Bookman Old Style" w:cs="Times New Roman"/>
          <w:u w:val="single"/>
        </w:rPr>
        <w:t xml:space="preserve">articoli </w:t>
      </w:r>
      <w:r w:rsidR="00DD6D3F" w:rsidRPr="005C5E89">
        <w:rPr>
          <w:rFonts w:ascii="Bookman Old Style" w:hAnsi="Bookman Old Style" w:cs="Times New Roman"/>
          <w:u w:val="single"/>
        </w:rPr>
        <w:t xml:space="preserve">del </w:t>
      </w:r>
      <w:r w:rsidR="00DD6D3F" w:rsidRPr="005C5E89">
        <w:rPr>
          <w:rFonts w:ascii="Bookman Old Style" w:hAnsi="Bookman Old Style" w:cs="Times New Roman"/>
          <w:b/>
          <w:bCs/>
          <w:u w:val="single"/>
        </w:rPr>
        <w:t>Nuovo Codice Appalti</w:t>
      </w:r>
      <w:r w:rsidR="003877C3" w:rsidRPr="005C5E89">
        <w:rPr>
          <w:rFonts w:ascii="Bookman Old Style" w:hAnsi="Bookman Old Style" w:cs="Times New Roman"/>
          <w:u w:val="single"/>
        </w:rPr>
        <w:t>:</w:t>
      </w:r>
    </w:p>
    <w:p w14:paraId="2EE0E0A7" w14:textId="247E4B57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19</w:t>
      </w:r>
      <w:r w:rsidRPr="0091701B">
        <w:rPr>
          <w:rFonts w:ascii="Bookman Old Style" w:hAnsi="Bookman Old Style" w:cs="Times New Roman"/>
        </w:rPr>
        <w:t xml:space="preserve"> - </w:t>
      </w:r>
      <w:r w:rsidR="006C50B4" w:rsidRPr="0091701B">
        <w:rPr>
          <w:rFonts w:ascii="Bookman Old Style" w:hAnsi="Bookman Old Style" w:cs="Times New Roman"/>
        </w:rPr>
        <w:t>Principi e diritti digitali</w:t>
      </w:r>
    </w:p>
    <w:p w14:paraId="351BE3BA" w14:textId="5753742D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20</w:t>
      </w:r>
      <w:r w:rsidRPr="0091701B">
        <w:rPr>
          <w:rFonts w:ascii="Bookman Old Style" w:hAnsi="Bookman Old Style" w:cs="Times New Roman"/>
        </w:rPr>
        <w:t xml:space="preserve"> -</w:t>
      </w:r>
      <w:r w:rsidR="00E53EEC" w:rsidRPr="0091701B">
        <w:rPr>
          <w:rFonts w:ascii="Bookman Old Style" w:hAnsi="Bookman Old Style" w:cs="Times New Roman"/>
        </w:rPr>
        <w:t xml:space="preserve"> Principi in materia di trasparenza</w:t>
      </w:r>
    </w:p>
    <w:p w14:paraId="179EA942" w14:textId="52EB1A22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21</w:t>
      </w:r>
      <w:r w:rsidRPr="0091701B">
        <w:rPr>
          <w:rFonts w:ascii="Bookman Old Style" w:hAnsi="Bookman Old Style" w:cs="Times New Roman"/>
        </w:rPr>
        <w:t xml:space="preserve"> -</w:t>
      </w:r>
      <w:r w:rsidR="00E53EEC" w:rsidRPr="0091701B">
        <w:rPr>
          <w:rFonts w:ascii="Bookman Old Style" w:hAnsi="Bookman Old Style" w:cs="Times New Roman"/>
        </w:rPr>
        <w:t xml:space="preserve"> Ciclo di vita digitale dei contratti pubblici</w:t>
      </w:r>
    </w:p>
    <w:p w14:paraId="4AEF3397" w14:textId="69AEBA90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22</w:t>
      </w:r>
      <w:r w:rsidRPr="0091701B">
        <w:rPr>
          <w:rFonts w:ascii="Bookman Old Style" w:hAnsi="Bookman Old Style" w:cs="Times New Roman"/>
        </w:rPr>
        <w:t xml:space="preserve"> -</w:t>
      </w:r>
      <w:r w:rsidR="001F7D4D" w:rsidRPr="0091701B">
        <w:rPr>
          <w:rFonts w:ascii="Bookman Old Style" w:hAnsi="Bookman Old Style" w:cs="Times New Roman"/>
        </w:rPr>
        <w:t xml:space="preserve"> Ecosistema nazionale di approvvigionamento digitale (e-procurement).</w:t>
      </w:r>
    </w:p>
    <w:p w14:paraId="3427F0CD" w14:textId="11496ABC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23</w:t>
      </w:r>
      <w:r w:rsidRPr="0091701B">
        <w:rPr>
          <w:rFonts w:ascii="Bookman Old Style" w:hAnsi="Bookman Old Style" w:cs="Times New Roman"/>
        </w:rPr>
        <w:t xml:space="preserve"> -</w:t>
      </w:r>
      <w:r w:rsidR="001F7D4D" w:rsidRPr="0091701B">
        <w:rPr>
          <w:rFonts w:ascii="Bookman Old Style" w:hAnsi="Bookman Old Style" w:cs="Times New Roman"/>
        </w:rPr>
        <w:t xml:space="preserve"> Banca dati nazionale dei contratti pubblici</w:t>
      </w:r>
    </w:p>
    <w:p w14:paraId="0CBCF27D" w14:textId="7A5BEA2D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24</w:t>
      </w:r>
      <w:r w:rsidRPr="0091701B">
        <w:rPr>
          <w:rFonts w:ascii="Bookman Old Style" w:hAnsi="Bookman Old Style" w:cs="Times New Roman"/>
        </w:rPr>
        <w:t xml:space="preserve"> -</w:t>
      </w:r>
      <w:r w:rsidR="008B6403" w:rsidRPr="0091701B">
        <w:rPr>
          <w:rFonts w:ascii="Bookman Old Style" w:hAnsi="Bookman Old Style" w:cs="Times New Roman"/>
        </w:rPr>
        <w:t xml:space="preserve"> Fascicolo virtuale dell’operatore economico</w:t>
      </w:r>
    </w:p>
    <w:p w14:paraId="7ABEE273" w14:textId="6110708B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25</w:t>
      </w:r>
      <w:r w:rsidRPr="0091701B">
        <w:rPr>
          <w:rFonts w:ascii="Bookman Old Style" w:hAnsi="Bookman Old Style" w:cs="Times New Roman"/>
        </w:rPr>
        <w:t xml:space="preserve"> -</w:t>
      </w:r>
      <w:r w:rsidRPr="0091701B">
        <w:rPr>
          <w:rFonts w:ascii="Bookman Old Style" w:hAnsi="Bookman Old Style" w:cs="Times New Roman"/>
          <w:b/>
          <w:bCs/>
        </w:rPr>
        <w:t xml:space="preserve"> </w:t>
      </w:r>
      <w:r w:rsidR="008B6403" w:rsidRPr="0091701B">
        <w:rPr>
          <w:rFonts w:ascii="Bookman Old Style" w:hAnsi="Bookman Old Style" w:cs="Times New Roman"/>
        </w:rPr>
        <w:t>Piattaforme di approvvigionamento digitale</w:t>
      </w:r>
    </w:p>
    <w:p w14:paraId="593DFE59" w14:textId="6AE4FF97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26</w:t>
      </w:r>
      <w:r w:rsidRPr="0091701B">
        <w:rPr>
          <w:rFonts w:ascii="Bookman Old Style" w:hAnsi="Bookman Old Style" w:cs="Times New Roman"/>
        </w:rPr>
        <w:t xml:space="preserve"> - </w:t>
      </w:r>
      <w:r w:rsidR="00EB7DC2" w:rsidRPr="0091701B">
        <w:rPr>
          <w:rFonts w:ascii="Bookman Old Style" w:hAnsi="Bookman Old Style" w:cs="Times New Roman"/>
        </w:rPr>
        <w:t>Regole tecniche</w:t>
      </w:r>
    </w:p>
    <w:p w14:paraId="012ECD01" w14:textId="523C9BE1" w:rsidR="006C7631" w:rsidRPr="0091701B" w:rsidRDefault="006C7631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Articolo 27 - Pubblicità legale degli atti</w:t>
      </w:r>
    </w:p>
    <w:p w14:paraId="10E4B7C6" w14:textId="63A22DC2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28</w:t>
      </w:r>
      <w:r w:rsidRPr="0091701B">
        <w:rPr>
          <w:rFonts w:ascii="Bookman Old Style" w:hAnsi="Bookman Old Style" w:cs="Times New Roman"/>
        </w:rPr>
        <w:t xml:space="preserve"> -</w:t>
      </w:r>
      <w:r w:rsidR="00EB7DC2" w:rsidRPr="0091701B">
        <w:rPr>
          <w:rFonts w:ascii="Bookman Old Style" w:hAnsi="Bookman Old Style" w:cs="Times New Roman"/>
        </w:rPr>
        <w:t xml:space="preserve"> Trasparenza dei contratti pubblici</w:t>
      </w:r>
    </w:p>
    <w:p w14:paraId="24686B37" w14:textId="4466A035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29</w:t>
      </w:r>
      <w:r w:rsidRPr="0091701B">
        <w:rPr>
          <w:rFonts w:ascii="Bookman Old Style" w:hAnsi="Bookman Old Style" w:cs="Times New Roman"/>
        </w:rPr>
        <w:t xml:space="preserve"> -</w:t>
      </w:r>
      <w:r w:rsidR="00AC4D14" w:rsidRPr="0091701B">
        <w:rPr>
          <w:rFonts w:ascii="Bookman Old Style" w:hAnsi="Bookman Old Style" w:cs="Times New Roman"/>
        </w:rPr>
        <w:t xml:space="preserve"> Regole applicabili alle comunicazioni</w:t>
      </w:r>
    </w:p>
    <w:p w14:paraId="4962F211" w14:textId="1E27A083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30</w:t>
      </w:r>
      <w:r w:rsidRPr="0091701B">
        <w:rPr>
          <w:rFonts w:ascii="Bookman Old Style" w:hAnsi="Bookman Old Style" w:cs="Times New Roman"/>
        </w:rPr>
        <w:t xml:space="preserve"> -</w:t>
      </w:r>
      <w:r w:rsidR="00AC4D14" w:rsidRPr="0091701B">
        <w:rPr>
          <w:rFonts w:ascii="Bookman Old Style" w:hAnsi="Bookman Old Style" w:cs="Times New Roman"/>
        </w:rPr>
        <w:t xml:space="preserve"> Uso di procedure automatizzate nel ciclo di vita dei contratti pubblici</w:t>
      </w:r>
    </w:p>
    <w:p w14:paraId="6DE3D09A" w14:textId="2DD75EAD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31</w:t>
      </w:r>
      <w:r w:rsidRPr="0091701B">
        <w:rPr>
          <w:rFonts w:ascii="Bookman Old Style" w:hAnsi="Bookman Old Style" w:cs="Times New Roman"/>
        </w:rPr>
        <w:t xml:space="preserve"> -</w:t>
      </w:r>
      <w:r w:rsidR="00D07C69" w:rsidRPr="0091701B">
        <w:rPr>
          <w:rFonts w:ascii="Bookman Old Style" w:hAnsi="Bookman Old Style" w:cs="Times New Roman"/>
        </w:rPr>
        <w:t xml:space="preserve"> Anagrafe degli operatori economici partecipanti agli appalti</w:t>
      </w:r>
    </w:p>
    <w:p w14:paraId="4DEF8FD3" w14:textId="36F3ACEC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3</w:t>
      </w:r>
      <w:r w:rsidR="00F929D7" w:rsidRPr="0091701B">
        <w:rPr>
          <w:rFonts w:ascii="Bookman Old Style" w:hAnsi="Bookman Old Style" w:cs="Times New Roman"/>
        </w:rPr>
        <w:t xml:space="preserve">5 </w:t>
      </w:r>
      <w:r w:rsidRPr="0091701B">
        <w:rPr>
          <w:rFonts w:ascii="Bookman Old Style" w:hAnsi="Bookman Old Style" w:cs="Times New Roman"/>
        </w:rPr>
        <w:t>-</w:t>
      </w:r>
      <w:r w:rsidR="00D07C69" w:rsidRPr="0091701B">
        <w:rPr>
          <w:rFonts w:ascii="Bookman Old Style" w:hAnsi="Bookman Old Style" w:cs="Times New Roman"/>
        </w:rPr>
        <w:t xml:space="preserve"> </w:t>
      </w:r>
      <w:r w:rsidR="0087742D" w:rsidRPr="0091701B">
        <w:rPr>
          <w:rFonts w:ascii="Bookman Old Style" w:hAnsi="Bookman Old Style" w:cs="Times New Roman"/>
        </w:rPr>
        <w:t>Accesso agli atti e riservatezza</w:t>
      </w:r>
    </w:p>
    <w:p w14:paraId="55817FF3" w14:textId="41788B12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36</w:t>
      </w:r>
      <w:r w:rsidRPr="0091701B">
        <w:rPr>
          <w:rFonts w:ascii="Bookman Old Style" w:hAnsi="Bookman Old Style" w:cs="Times New Roman"/>
        </w:rPr>
        <w:t xml:space="preserve"> - </w:t>
      </w:r>
      <w:r w:rsidR="0087742D" w:rsidRPr="0091701B">
        <w:rPr>
          <w:rFonts w:ascii="Bookman Old Style" w:hAnsi="Bookman Old Style" w:cs="Times New Roman"/>
        </w:rPr>
        <w:t>Norme procedimentali e processuali in tema di accesso</w:t>
      </w:r>
    </w:p>
    <w:p w14:paraId="0A44E70D" w14:textId="3973D760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37, comma 4</w:t>
      </w:r>
      <w:r w:rsidR="00D8449C" w:rsidRPr="0091701B">
        <w:rPr>
          <w:rFonts w:ascii="Bookman Old Style" w:hAnsi="Bookman Old Style" w:cs="Times New Roman"/>
        </w:rPr>
        <w:t xml:space="preserve"> - Programmazione dei lavori e degli acquisti di beni e servizi.</w:t>
      </w:r>
    </w:p>
    <w:p w14:paraId="29E6B028" w14:textId="77777777" w:rsidR="006C7631" w:rsidRPr="0091701B" w:rsidRDefault="006C7631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Articolo 81 - Avvisi di preinformazione</w:t>
      </w:r>
    </w:p>
    <w:p w14:paraId="1200C4DA" w14:textId="77777777" w:rsidR="006C7631" w:rsidRPr="0091701B" w:rsidRDefault="006C7631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Articolo 83 - Bandi e avvisi: contenuti e modalità di redazione</w:t>
      </w:r>
    </w:p>
    <w:p w14:paraId="428C9C43" w14:textId="77777777" w:rsidR="006C7631" w:rsidRPr="0091701B" w:rsidRDefault="006C7631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Articolo 84 - Pubblicazione a livello europeo</w:t>
      </w:r>
    </w:p>
    <w:p w14:paraId="68D76265" w14:textId="4AC19E7E" w:rsidR="006C7631" w:rsidRPr="0091701B" w:rsidRDefault="006C7631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Articolo 85 - Pubblicazione a livello nazionale</w:t>
      </w:r>
    </w:p>
    <w:p w14:paraId="3F4BBBEA" w14:textId="6A9FF6A4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99</w:t>
      </w:r>
      <w:r w:rsidRPr="0091701B">
        <w:rPr>
          <w:rFonts w:ascii="Bookman Old Style" w:hAnsi="Bookman Old Style" w:cs="Times New Roman"/>
        </w:rPr>
        <w:t xml:space="preserve"> -</w:t>
      </w:r>
      <w:r w:rsidR="00A75538" w:rsidRPr="0091701B">
        <w:rPr>
          <w:rFonts w:ascii="Bookman Old Style" w:hAnsi="Bookman Old Style" w:cs="Times New Roman"/>
        </w:rPr>
        <w:t xml:space="preserve"> Verifica del possesso dei requisiti</w:t>
      </w:r>
    </w:p>
    <w:p w14:paraId="09899C58" w14:textId="0905F98D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 xml:space="preserve">106, comma 3, ultimo periodo, </w:t>
      </w:r>
      <w:r w:rsidR="00A75538" w:rsidRPr="0091701B">
        <w:rPr>
          <w:rFonts w:ascii="Bookman Old Style" w:hAnsi="Bookman Old Style" w:cs="Times New Roman"/>
        </w:rPr>
        <w:t>- Garanzie per la partecipazione alla procedura</w:t>
      </w:r>
    </w:p>
    <w:p w14:paraId="45CD8A4F" w14:textId="03399E88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115, comma 5</w:t>
      </w:r>
      <w:r w:rsidR="002F77EE" w:rsidRPr="0091701B">
        <w:rPr>
          <w:rFonts w:ascii="Bookman Old Style" w:hAnsi="Bookman Old Style" w:cs="Times New Roman"/>
        </w:rPr>
        <w:t xml:space="preserve"> -</w:t>
      </w:r>
      <w:r w:rsidR="002B216F" w:rsidRPr="0091701B">
        <w:rPr>
          <w:rFonts w:ascii="Bookman Old Style" w:hAnsi="Bookman Old Style" w:cs="Times New Roman"/>
        </w:rPr>
        <w:t xml:space="preserve"> </w:t>
      </w:r>
      <w:r w:rsidR="002F77EE" w:rsidRPr="0091701B">
        <w:rPr>
          <w:rFonts w:ascii="Bookman Old Style" w:hAnsi="Bookman Old Style" w:cs="Times New Roman"/>
        </w:rPr>
        <w:t>Controllo tecnico contabile e amministrativo</w:t>
      </w:r>
    </w:p>
    <w:p w14:paraId="15D5EBF0" w14:textId="1230829D" w:rsidR="003877C3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 xml:space="preserve">119, comma 5 </w:t>
      </w:r>
      <w:r w:rsidR="002D7970">
        <w:rPr>
          <w:rFonts w:ascii="Bookman Old Style" w:hAnsi="Bookman Old Style" w:cs="Times New Roman"/>
        </w:rPr>
        <w:t>–</w:t>
      </w:r>
      <w:r w:rsidR="002F77EE" w:rsidRPr="0091701B">
        <w:rPr>
          <w:rFonts w:ascii="Bookman Old Style" w:hAnsi="Bookman Old Style" w:cs="Times New Roman"/>
        </w:rPr>
        <w:t xml:space="preserve"> Subappalto</w:t>
      </w:r>
      <w:r w:rsidR="002D7970">
        <w:rPr>
          <w:rFonts w:ascii="Bookman Old Style" w:hAnsi="Bookman Old Style" w:cs="Times New Roman"/>
        </w:rPr>
        <w:t xml:space="preserve"> “a cascata”</w:t>
      </w:r>
    </w:p>
    <w:p w14:paraId="486BF21F" w14:textId="7F24E9FA" w:rsidR="002F1705" w:rsidRPr="0091701B" w:rsidRDefault="003877C3" w:rsidP="00C70D0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  <w:r w:rsidRPr="0091701B">
        <w:rPr>
          <w:rFonts w:ascii="Bookman Old Style" w:hAnsi="Bookman Old Style" w:cs="Times New Roman"/>
        </w:rPr>
        <w:t xml:space="preserve">Articolo </w:t>
      </w:r>
      <w:r w:rsidR="002B216F" w:rsidRPr="0091701B">
        <w:rPr>
          <w:rFonts w:ascii="Bookman Old Style" w:hAnsi="Bookman Old Style" w:cs="Times New Roman"/>
        </w:rPr>
        <w:t>224, comma 6</w:t>
      </w:r>
      <w:r w:rsidR="002B216F" w:rsidRPr="0091701B">
        <w:rPr>
          <w:rFonts w:ascii="Bookman Old Style" w:hAnsi="Bookman Old Style" w:cs="Times New Roman"/>
          <w:b/>
          <w:bCs/>
        </w:rPr>
        <w:t xml:space="preserve"> </w:t>
      </w:r>
      <w:r w:rsidR="00FB5B8A" w:rsidRPr="0091701B">
        <w:rPr>
          <w:rFonts w:ascii="Bookman Old Style" w:hAnsi="Bookman Old Style" w:cs="Times New Roman"/>
          <w:b/>
          <w:bCs/>
        </w:rPr>
        <w:t xml:space="preserve">- </w:t>
      </w:r>
      <w:r w:rsidR="00FB5B8A" w:rsidRPr="0091701B">
        <w:rPr>
          <w:rFonts w:ascii="Bookman Old Style" w:hAnsi="Bookman Old Style" w:cs="Times New Roman"/>
        </w:rPr>
        <w:t>Disposizioni ulteriori</w:t>
      </w:r>
    </w:p>
    <w:p w14:paraId="28265FCC" w14:textId="77777777" w:rsidR="002F1705" w:rsidRPr="0091701B" w:rsidRDefault="002F1705" w:rsidP="007519DD">
      <w:pPr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</w:p>
    <w:p w14:paraId="41D8F301" w14:textId="0B325A3A" w:rsidR="00AB5ECE" w:rsidRPr="0091701B" w:rsidRDefault="00472C6B" w:rsidP="007519DD">
      <w:pPr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  <w:r w:rsidRPr="0091701B">
        <w:rPr>
          <w:rFonts w:ascii="Bookman Old Style" w:hAnsi="Bookman Old Style" w:cs="Times New Roman"/>
          <w:b/>
          <w:bCs/>
          <w:u w:val="single"/>
        </w:rPr>
        <w:t>Per</w:t>
      </w:r>
      <w:r w:rsidR="00025165" w:rsidRPr="0091701B">
        <w:rPr>
          <w:rFonts w:ascii="Bookman Old Style" w:hAnsi="Bookman Old Style" w:cs="Times New Roman"/>
          <w:b/>
          <w:bCs/>
          <w:u w:val="single"/>
        </w:rPr>
        <w:t xml:space="preserve"> gli </w:t>
      </w:r>
      <w:r w:rsidRPr="0091701B">
        <w:rPr>
          <w:rFonts w:ascii="Bookman Old Style" w:hAnsi="Bookman Old Style" w:cs="Times New Roman"/>
          <w:b/>
          <w:bCs/>
          <w:u w:val="single"/>
        </w:rPr>
        <w:t>affidam</w:t>
      </w:r>
      <w:r w:rsidR="00025165" w:rsidRPr="0091701B">
        <w:rPr>
          <w:rFonts w:ascii="Bookman Old Style" w:hAnsi="Bookman Old Style" w:cs="Times New Roman"/>
          <w:b/>
          <w:bCs/>
          <w:u w:val="single"/>
        </w:rPr>
        <w:t xml:space="preserve">enti </w:t>
      </w:r>
      <w:r w:rsidRPr="0091701B">
        <w:rPr>
          <w:rFonts w:ascii="Bookman Old Style" w:hAnsi="Bookman Old Style" w:cs="Times New Roman"/>
          <w:b/>
          <w:bCs/>
          <w:u w:val="single"/>
        </w:rPr>
        <w:t xml:space="preserve">e </w:t>
      </w:r>
      <w:r w:rsidR="00025165" w:rsidRPr="0091701B">
        <w:rPr>
          <w:rFonts w:ascii="Bookman Old Style" w:hAnsi="Bookman Old Style" w:cs="Times New Roman"/>
          <w:b/>
          <w:bCs/>
          <w:u w:val="single"/>
        </w:rPr>
        <w:t>i contratti a valere su progetti PNC e PNRR</w:t>
      </w:r>
      <w:r w:rsidR="003E4FFA" w:rsidRPr="005C5E89">
        <w:rPr>
          <w:rFonts w:ascii="Bookman Old Style" w:hAnsi="Bookman Old Style" w:cs="Times New Roman"/>
          <w:b/>
          <w:bCs/>
          <w:u w:val="single"/>
        </w:rPr>
        <w:t xml:space="preserve"> </w:t>
      </w:r>
      <w:r w:rsidR="0086348F" w:rsidRPr="005C5E89">
        <w:rPr>
          <w:rFonts w:ascii="Bookman Old Style" w:hAnsi="Bookman Old Style" w:cs="Times New Roman"/>
          <w:b/>
          <w:bCs/>
          <w:u w:val="single"/>
        </w:rPr>
        <w:t>e sulle</w:t>
      </w:r>
      <w:r w:rsidR="003E4FFA" w:rsidRPr="005C5E89">
        <w:rPr>
          <w:rFonts w:ascii="Bookman Old Style" w:hAnsi="Bookman Old Style" w:cs="Times New Roman"/>
          <w:b/>
          <w:bCs/>
          <w:u w:val="single"/>
        </w:rPr>
        <w:t xml:space="preserve"> relative</w:t>
      </w:r>
      <w:r w:rsidR="0086348F" w:rsidRPr="005C5E89">
        <w:rPr>
          <w:rFonts w:ascii="Bookman Old Style" w:hAnsi="Bookman Old Style" w:cs="Times New Roman"/>
          <w:b/>
          <w:bCs/>
          <w:u w:val="single"/>
        </w:rPr>
        <w:t xml:space="preserve"> </w:t>
      </w:r>
      <w:r w:rsidR="003E4FFA" w:rsidRPr="005C5E89">
        <w:rPr>
          <w:rFonts w:ascii="Bookman Old Style" w:hAnsi="Bookman Old Style" w:cs="Times New Roman"/>
          <w:b/>
          <w:bCs/>
          <w:u w:val="single"/>
        </w:rPr>
        <w:t>infrastrutture</w:t>
      </w:r>
      <w:r w:rsidR="0086348F" w:rsidRPr="005C5E89">
        <w:rPr>
          <w:rFonts w:ascii="Bookman Old Style" w:hAnsi="Bookman Old Style" w:cs="Times New Roman"/>
          <w:b/>
          <w:bCs/>
          <w:u w:val="single"/>
        </w:rPr>
        <w:t xml:space="preserve"> di supporto</w:t>
      </w:r>
      <w:r w:rsidR="0086348F" w:rsidRPr="0091701B">
        <w:rPr>
          <w:rFonts w:ascii="Bookman Old Style" w:hAnsi="Bookman Old Style" w:cs="Times New Roman"/>
        </w:rPr>
        <w:t xml:space="preserve">, </w:t>
      </w:r>
      <w:r w:rsidR="0024093B" w:rsidRPr="0091701B">
        <w:rPr>
          <w:rFonts w:ascii="Bookman Old Style" w:hAnsi="Bookman Old Style" w:cs="Times New Roman"/>
        </w:rPr>
        <w:t xml:space="preserve">anche </w:t>
      </w:r>
      <w:r w:rsidR="003E4FFA" w:rsidRPr="0091701B">
        <w:rPr>
          <w:rFonts w:ascii="Bookman Old Style" w:hAnsi="Bookman Old Style" w:cs="Times New Roman"/>
        </w:rPr>
        <w:t>successivamente</w:t>
      </w:r>
      <w:r w:rsidR="0024093B" w:rsidRPr="0091701B">
        <w:rPr>
          <w:rFonts w:ascii="Bookman Old Style" w:hAnsi="Bookman Old Style" w:cs="Times New Roman"/>
        </w:rPr>
        <w:t xml:space="preserve"> al 1</w:t>
      </w:r>
      <w:r w:rsidR="003E4FFA" w:rsidRPr="0091701B">
        <w:rPr>
          <w:rFonts w:ascii="Bookman Old Style" w:hAnsi="Bookman Old Style" w:cs="Times New Roman"/>
          <w:b/>
          <w:bCs/>
        </w:rPr>
        <w:t>°</w:t>
      </w:r>
      <w:r w:rsidR="0024093B" w:rsidRPr="0091701B">
        <w:rPr>
          <w:rFonts w:ascii="Bookman Old Style" w:hAnsi="Bookman Old Style" w:cs="Times New Roman"/>
        </w:rPr>
        <w:t xml:space="preserve"> luglio</w:t>
      </w:r>
      <w:r w:rsidR="0086348F" w:rsidRPr="0091701B">
        <w:rPr>
          <w:rFonts w:ascii="Bookman Old Style" w:hAnsi="Bookman Old Style" w:cs="Times New Roman"/>
        </w:rPr>
        <w:t xml:space="preserve"> </w:t>
      </w:r>
      <w:r w:rsidR="0046481E" w:rsidRPr="0091701B">
        <w:rPr>
          <w:rFonts w:ascii="Bookman Old Style" w:hAnsi="Bookman Old Style" w:cs="Times New Roman"/>
        </w:rPr>
        <w:t>2023, si</w:t>
      </w:r>
      <w:r w:rsidR="0024093B" w:rsidRPr="0091701B">
        <w:rPr>
          <w:rFonts w:ascii="Bookman Old Style" w:hAnsi="Bookman Old Style" w:cs="Times New Roman"/>
        </w:rPr>
        <w:t xml:space="preserve"> applica</w:t>
      </w:r>
      <w:r w:rsidR="003E4FFA" w:rsidRPr="0091701B">
        <w:rPr>
          <w:rFonts w:ascii="Bookman Old Style" w:hAnsi="Bookman Old Style" w:cs="Times New Roman"/>
        </w:rPr>
        <w:t>no</w:t>
      </w:r>
      <w:r w:rsidR="0024093B" w:rsidRPr="0091701B">
        <w:rPr>
          <w:rFonts w:ascii="Bookman Old Style" w:hAnsi="Bookman Old Style" w:cs="Times New Roman"/>
        </w:rPr>
        <w:t xml:space="preserve"> </w:t>
      </w:r>
      <w:r w:rsidR="003E4FFA" w:rsidRPr="0091701B">
        <w:rPr>
          <w:rFonts w:ascii="Bookman Old Style" w:hAnsi="Bookman Old Style" w:cs="Times New Roman"/>
        </w:rPr>
        <w:t xml:space="preserve">le disposizioni di cui al decreto-legge </w:t>
      </w:r>
      <w:r w:rsidR="008674BA" w:rsidRPr="0091701B">
        <w:rPr>
          <w:rFonts w:ascii="Bookman Old Style" w:hAnsi="Bookman Old Style" w:cs="Times New Roman"/>
        </w:rPr>
        <w:t xml:space="preserve">31 maggio 202, </w:t>
      </w:r>
      <w:r w:rsidR="003E4FFA" w:rsidRPr="0091701B">
        <w:rPr>
          <w:rFonts w:ascii="Bookman Old Style" w:hAnsi="Bookman Old Style" w:cs="Times New Roman"/>
        </w:rPr>
        <w:t>n. 77, convertito, con modificazioni, dalla legge n. 108 del 202</w:t>
      </w:r>
      <w:r w:rsidR="008674BA" w:rsidRPr="0091701B">
        <w:rPr>
          <w:rFonts w:ascii="Bookman Old Style" w:hAnsi="Bookman Old Style" w:cs="Times New Roman"/>
        </w:rPr>
        <w:t>1</w:t>
      </w:r>
      <w:r w:rsidR="00FC2D9C" w:rsidRPr="0091701B">
        <w:rPr>
          <w:rFonts w:ascii="Bookman Old Style" w:hAnsi="Bookman Old Style" w:cs="Times New Roman"/>
        </w:rPr>
        <w:t>,</w:t>
      </w:r>
      <w:r w:rsidR="001A52D6">
        <w:rPr>
          <w:rFonts w:ascii="Bookman Old Style" w:hAnsi="Bookman Old Style" w:cs="Times New Roman"/>
        </w:rPr>
        <w:t xml:space="preserve"> </w:t>
      </w:r>
      <w:r w:rsidR="00FC2D9C" w:rsidRPr="0091701B">
        <w:rPr>
          <w:rFonts w:ascii="Bookman Old Style" w:hAnsi="Bookman Old Style" w:cs="Times New Roman"/>
        </w:rPr>
        <w:t>nonché le specifiche disposizioni legislative finalizzate a semplificare e agevolare la realizzazione degli obiettivi stabiliti dal PNRR</w:t>
      </w:r>
      <w:r w:rsidR="0046481E" w:rsidRPr="0091701B">
        <w:rPr>
          <w:rFonts w:ascii="Bookman Old Style" w:hAnsi="Bookman Old Style" w:cs="Times New Roman"/>
        </w:rPr>
        <w:t xml:space="preserve"> e</w:t>
      </w:r>
      <w:r w:rsidR="00FC2D9C" w:rsidRPr="0091701B">
        <w:rPr>
          <w:rFonts w:ascii="Bookman Old Style" w:hAnsi="Bookman Old Style" w:cs="Times New Roman"/>
        </w:rPr>
        <w:t xml:space="preserve"> dal PNC.</w:t>
      </w:r>
    </w:p>
    <w:p w14:paraId="5563CCF7" w14:textId="77777777" w:rsidR="003145D7" w:rsidRDefault="003145D7" w:rsidP="007519DD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2B0B6604" w14:textId="19EA87AE" w:rsidR="00EA11DD" w:rsidRPr="0091701B" w:rsidRDefault="005540C4" w:rsidP="007519DD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E’ inoltre previsto</w:t>
      </w:r>
      <w:r w:rsidR="00F949F1">
        <w:rPr>
          <w:rFonts w:ascii="Bookman Old Style" w:hAnsi="Bookman Old Style" w:cs="Times New Roman"/>
        </w:rPr>
        <w:t>, in via generale che</w:t>
      </w:r>
      <w:r>
        <w:rPr>
          <w:rFonts w:ascii="Bookman Old Style" w:hAnsi="Bookman Old Style" w:cs="Times New Roman"/>
        </w:rPr>
        <w:t>, n</w:t>
      </w:r>
      <w:r w:rsidR="00EA11DD" w:rsidRPr="0091701B">
        <w:rPr>
          <w:rFonts w:ascii="Bookman Old Style" w:hAnsi="Bookman Old Style" w:cs="Times New Roman"/>
        </w:rPr>
        <w:t xml:space="preserve">el caso in cui l’incarico di </w:t>
      </w:r>
      <w:r w:rsidR="00EA11DD" w:rsidRPr="0091701B">
        <w:rPr>
          <w:rFonts w:ascii="Bookman Old Style" w:hAnsi="Bookman Old Style" w:cs="Times New Roman"/>
          <w:b/>
          <w:bCs/>
        </w:rPr>
        <w:t xml:space="preserve">redazione del progetto di fattibilità tecnico economica sia stato formalizzato prima del </w:t>
      </w:r>
      <w:r w:rsidR="00FC2D9C" w:rsidRPr="0091701B">
        <w:rPr>
          <w:rFonts w:ascii="Bookman Old Style" w:hAnsi="Bookman Old Style" w:cs="Times New Roman"/>
          <w:b/>
          <w:bCs/>
        </w:rPr>
        <w:t>1° luglio</w:t>
      </w:r>
      <w:r w:rsidR="00EA11DD" w:rsidRPr="0091701B">
        <w:rPr>
          <w:rFonts w:ascii="Bookman Old Style" w:hAnsi="Bookman Old Style" w:cs="Times New Roman"/>
          <w:b/>
          <w:bCs/>
        </w:rPr>
        <w:t xml:space="preserve"> 2023</w:t>
      </w:r>
      <w:r w:rsidR="00EA11DD" w:rsidRPr="0091701B">
        <w:rPr>
          <w:rFonts w:ascii="Bookman Old Style" w:hAnsi="Bookman Old Style" w:cs="Times New Roman"/>
        </w:rPr>
        <w:t>, la stazione appaltante può procedere all’affidamento congiunto di progettazione ed esecuzione dei lavori sulla base del progetto di fattibilità tecnic</w:t>
      </w:r>
      <w:r w:rsidR="00F30AB8" w:rsidRPr="0091701B">
        <w:rPr>
          <w:rFonts w:ascii="Bookman Old Style" w:hAnsi="Bookman Old Style" w:cs="Times New Roman"/>
        </w:rPr>
        <w:t>a</w:t>
      </w:r>
      <w:r w:rsidR="00EA11DD" w:rsidRPr="0091701B">
        <w:rPr>
          <w:rFonts w:ascii="Bookman Old Style" w:hAnsi="Bookman Old Style" w:cs="Times New Roman"/>
        </w:rPr>
        <w:t xml:space="preserve"> ed economica oppure sulla base di un progetto definitivo redatto ai sensi dell’articolo 23 </w:t>
      </w:r>
      <w:r w:rsidR="005016A5" w:rsidRPr="0091701B">
        <w:rPr>
          <w:rFonts w:ascii="Bookman Old Style" w:hAnsi="Bookman Old Style" w:cs="Times New Roman"/>
        </w:rPr>
        <w:t>(</w:t>
      </w:r>
      <w:r w:rsidR="00421728" w:rsidRPr="0091701B">
        <w:rPr>
          <w:rFonts w:ascii="Bookman Old Style" w:hAnsi="Bookman Old Style" w:cs="Times New Roman"/>
        </w:rPr>
        <w:t>Livelli della progettazione per gli appalti, per le concessioni di lavori nonché per i servizi</w:t>
      </w:r>
      <w:r w:rsidR="00EE7CCD" w:rsidRPr="0091701B">
        <w:rPr>
          <w:rFonts w:ascii="Bookman Old Style" w:hAnsi="Bookman Old Style" w:cs="Times New Roman"/>
        </w:rPr>
        <w:t xml:space="preserve">) </w:t>
      </w:r>
      <w:r w:rsidR="00EA11DD" w:rsidRPr="0091701B">
        <w:rPr>
          <w:rFonts w:ascii="Bookman Old Style" w:hAnsi="Bookman Old Style" w:cs="Times New Roman"/>
        </w:rPr>
        <w:t>del codice dei contratti pubblici, di cui decreto legislativo 18 aprile 2016 n. 50</w:t>
      </w:r>
      <w:r w:rsidR="00421728" w:rsidRPr="0091701B">
        <w:rPr>
          <w:rFonts w:ascii="Bookman Old Style" w:hAnsi="Bookman Old Style" w:cs="Times New Roman"/>
        </w:rPr>
        <w:t>.</w:t>
      </w:r>
    </w:p>
    <w:p w14:paraId="09A46D1E" w14:textId="06100A65" w:rsidR="0024093B" w:rsidRPr="0091701B" w:rsidRDefault="0047533E" w:rsidP="007519DD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Specifiche procedure</w:t>
      </w:r>
      <w:r w:rsidR="00421728" w:rsidRPr="0091701B">
        <w:rPr>
          <w:rFonts w:ascii="Bookman Old Style" w:hAnsi="Bookman Old Style" w:cs="Times New Roman"/>
        </w:rPr>
        <w:t>,</w:t>
      </w:r>
      <w:r w:rsidRPr="0091701B">
        <w:rPr>
          <w:rFonts w:ascii="Bookman Old Style" w:hAnsi="Bookman Old Style" w:cs="Times New Roman"/>
        </w:rPr>
        <w:t xml:space="preserve"> inoltre</w:t>
      </w:r>
      <w:r w:rsidR="00421728" w:rsidRPr="0091701B">
        <w:rPr>
          <w:rFonts w:ascii="Bookman Old Style" w:hAnsi="Bookman Old Style" w:cs="Times New Roman"/>
        </w:rPr>
        <w:t>,</w:t>
      </w:r>
      <w:r w:rsidRPr="0091701B">
        <w:rPr>
          <w:rFonts w:ascii="Bookman Old Style" w:hAnsi="Bookman Old Style" w:cs="Times New Roman"/>
        </w:rPr>
        <w:t xml:space="preserve"> attengono </w:t>
      </w:r>
      <w:r w:rsidR="00990FE0" w:rsidRPr="0091701B">
        <w:rPr>
          <w:rFonts w:ascii="Bookman Old Style" w:hAnsi="Bookman Old Style" w:cs="Times New Roman"/>
        </w:rPr>
        <w:t xml:space="preserve">gli interventi </w:t>
      </w:r>
      <w:r w:rsidR="00CA3887" w:rsidRPr="0091701B">
        <w:rPr>
          <w:rFonts w:ascii="Bookman Old Style" w:hAnsi="Bookman Old Style" w:cs="Times New Roman"/>
        </w:rPr>
        <w:t>infrast</w:t>
      </w:r>
      <w:r w:rsidR="00421728" w:rsidRPr="0091701B">
        <w:rPr>
          <w:rFonts w:ascii="Bookman Old Style" w:hAnsi="Bookman Old Style" w:cs="Times New Roman"/>
        </w:rPr>
        <w:t>rutturali e strategici</w:t>
      </w:r>
      <w:r w:rsidR="00CA3887" w:rsidRPr="0091701B">
        <w:rPr>
          <w:rFonts w:ascii="Bookman Old Style" w:hAnsi="Bookman Old Style" w:cs="Times New Roman"/>
        </w:rPr>
        <w:t xml:space="preserve">, </w:t>
      </w:r>
      <w:r w:rsidR="00421728" w:rsidRPr="0091701B">
        <w:rPr>
          <w:rFonts w:ascii="Bookman Old Style" w:hAnsi="Bookman Old Style" w:cs="Times New Roman"/>
        </w:rPr>
        <w:t xml:space="preserve">le </w:t>
      </w:r>
      <w:r w:rsidR="00CA3887" w:rsidRPr="0091701B">
        <w:rPr>
          <w:rFonts w:ascii="Bookman Old Style" w:hAnsi="Bookman Old Style" w:cs="Times New Roman"/>
        </w:rPr>
        <w:t xml:space="preserve">procedure di impatto ambientale grandi opere e le proroghe </w:t>
      </w:r>
      <w:r w:rsidR="00421728" w:rsidRPr="0091701B">
        <w:rPr>
          <w:rFonts w:ascii="Bookman Old Style" w:hAnsi="Bookman Old Style" w:cs="Times New Roman"/>
        </w:rPr>
        <w:t xml:space="preserve">della </w:t>
      </w:r>
      <w:r w:rsidR="00CA3887" w:rsidRPr="0091701B">
        <w:rPr>
          <w:rFonts w:ascii="Bookman Old Style" w:hAnsi="Bookman Old Style" w:cs="Times New Roman"/>
        </w:rPr>
        <w:t xml:space="preserve">dichiarazione </w:t>
      </w:r>
      <w:r w:rsidR="00421728" w:rsidRPr="0091701B">
        <w:rPr>
          <w:rFonts w:ascii="Bookman Old Style" w:hAnsi="Bookman Old Style" w:cs="Times New Roman"/>
        </w:rPr>
        <w:t xml:space="preserve">di </w:t>
      </w:r>
      <w:r w:rsidR="00CA3887" w:rsidRPr="0091701B">
        <w:rPr>
          <w:rFonts w:ascii="Bookman Old Style" w:hAnsi="Bookman Old Style" w:cs="Times New Roman"/>
        </w:rPr>
        <w:t>pubblica utilità su</w:t>
      </w:r>
      <w:r w:rsidR="00421728" w:rsidRPr="0091701B">
        <w:rPr>
          <w:rFonts w:ascii="Bookman Old Style" w:hAnsi="Bookman Old Style" w:cs="Times New Roman"/>
        </w:rPr>
        <w:t>i</w:t>
      </w:r>
      <w:r w:rsidR="00CA3887" w:rsidRPr="0091701B">
        <w:rPr>
          <w:rFonts w:ascii="Bookman Old Style" w:hAnsi="Bookman Old Style" w:cs="Times New Roman"/>
        </w:rPr>
        <w:t xml:space="preserve"> progetti già approvati dal CIPESS</w:t>
      </w:r>
      <w:r w:rsidR="00421728" w:rsidRPr="0091701B">
        <w:rPr>
          <w:rFonts w:ascii="Bookman Old Style" w:hAnsi="Bookman Old Style" w:cs="Times New Roman"/>
        </w:rPr>
        <w:t>.</w:t>
      </w:r>
    </w:p>
    <w:p w14:paraId="4F6C1C99" w14:textId="789BA4F7" w:rsidR="0077763D" w:rsidRPr="0091701B" w:rsidRDefault="0077763D" w:rsidP="007519DD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91701B">
        <w:rPr>
          <w:rFonts w:ascii="Bookman Old Style" w:hAnsi="Bookman Old Style" w:cs="Times New Roman"/>
        </w:rPr>
        <w:t>Vi sono</w:t>
      </w:r>
      <w:r w:rsidR="00421728" w:rsidRPr="0091701B">
        <w:rPr>
          <w:rFonts w:ascii="Bookman Old Style" w:hAnsi="Bookman Old Style" w:cs="Times New Roman"/>
        </w:rPr>
        <w:t>,</w:t>
      </w:r>
      <w:r w:rsidRPr="0091701B">
        <w:rPr>
          <w:rFonts w:ascii="Bookman Old Style" w:hAnsi="Bookman Old Style" w:cs="Times New Roman"/>
        </w:rPr>
        <w:t xml:space="preserve"> altresì</w:t>
      </w:r>
      <w:r w:rsidR="00421728" w:rsidRPr="0091701B">
        <w:rPr>
          <w:rFonts w:ascii="Bookman Old Style" w:hAnsi="Bookman Old Style" w:cs="Times New Roman"/>
        </w:rPr>
        <w:t>,</w:t>
      </w:r>
      <w:r w:rsidRPr="0091701B">
        <w:rPr>
          <w:rFonts w:ascii="Bookman Old Style" w:hAnsi="Bookman Old Style" w:cs="Times New Roman"/>
        </w:rPr>
        <w:t xml:space="preserve"> norme transitorie per la </w:t>
      </w:r>
      <w:r w:rsidR="00421728" w:rsidRPr="0091701B">
        <w:rPr>
          <w:rFonts w:ascii="Bookman Old Style" w:hAnsi="Bookman Old Style" w:cs="Times New Roman"/>
        </w:rPr>
        <w:t>partecipazione</w:t>
      </w:r>
      <w:r w:rsidRPr="0091701B">
        <w:rPr>
          <w:rFonts w:ascii="Bookman Old Style" w:hAnsi="Bookman Old Style" w:cs="Times New Roman"/>
        </w:rPr>
        <w:t xml:space="preserve"> alle gare per</w:t>
      </w:r>
      <w:r w:rsidR="00CC370C" w:rsidRPr="0091701B">
        <w:rPr>
          <w:rFonts w:ascii="Bookman Old Style" w:hAnsi="Bookman Old Style" w:cs="Times New Roman"/>
        </w:rPr>
        <w:t xml:space="preserve"> appalti di </w:t>
      </w:r>
      <w:r w:rsidR="00421728" w:rsidRPr="0091701B">
        <w:rPr>
          <w:rFonts w:ascii="Bookman Old Style" w:hAnsi="Bookman Old Style" w:cs="Times New Roman"/>
        </w:rPr>
        <w:t>servizi</w:t>
      </w:r>
      <w:r w:rsidR="00CC370C" w:rsidRPr="0091701B">
        <w:rPr>
          <w:rFonts w:ascii="Bookman Old Style" w:hAnsi="Bookman Old Style" w:cs="Times New Roman"/>
        </w:rPr>
        <w:t xml:space="preserve">, </w:t>
      </w:r>
      <w:r w:rsidR="00421728" w:rsidRPr="0091701B">
        <w:rPr>
          <w:rFonts w:ascii="Bookman Old Style" w:hAnsi="Bookman Old Style" w:cs="Times New Roman"/>
        </w:rPr>
        <w:t>forniture</w:t>
      </w:r>
      <w:r w:rsidR="00CC370C" w:rsidRPr="0091701B">
        <w:rPr>
          <w:rFonts w:ascii="Bookman Old Style" w:hAnsi="Bookman Old Style" w:cs="Times New Roman"/>
        </w:rPr>
        <w:t xml:space="preserve"> e lavori de</w:t>
      </w:r>
      <w:r w:rsidRPr="0091701B">
        <w:rPr>
          <w:rFonts w:ascii="Bookman Old Style" w:hAnsi="Bookman Old Style" w:cs="Times New Roman"/>
        </w:rPr>
        <w:t>i con</w:t>
      </w:r>
      <w:r w:rsidR="00CC370C" w:rsidRPr="0091701B">
        <w:rPr>
          <w:rFonts w:ascii="Bookman Old Style" w:hAnsi="Bookman Old Style" w:cs="Times New Roman"/>
        </w:rPr>
        <w:t>sorzi stabili</w:t>
      </w:r>
      <w:r w:rsidR="00E97B49" w:rsidRPr="0091701B">
        <w:rPr>
          <w:rFonts w:ascii="Bookman Old Style" w:hAnsi="Bookman Old Style" w:cs="Times New Roman"/>
        </w:rPr>
        <w:t>.</w:t>
      </w:r>
    </w:p>
    <w:p w14:paraId="154793E4" w14:textId="77777777" w:rsidR="00A372CB" w:rsidRPr="0091701B" w:rsidRDefault="00A372CB" w:rsidP="007519DD">
      <w:pPr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</w:p>
    <w:p w14:paraId="2E0E01FF" w14:textId="66BF8C1A" w:rsidR="00A372CB" w:rsidRPr="002D7970" w:rsidRDefault="00DF198C" w:rsidP="007519DD">
      <w:pPr>
        <w:spacing w:after="0" w:line="360" w:lineRule="auto"/>
        <w:jc w:val="both"/>
        <w:rPr>
          <w:rFonts w:ascii="Bookman Old Style" w:hAnsi="Bookman Old Style" w:cs="Times New Roman"/>
          <w:u w:val="single"/>
        </w:rPr>
      </w:pPr>
      <w:r w:rsidRPr="0091701B">
        <w:rPr>
          <w:rFonts w:ascii="Bookman Old Style" w:hAnsi="Bookman Old Style" w:cs="Times New Roman"/>
        </w:rPr>
        <w:t>Infine, a</w:t>
      </w:r>
      <w:r w:rsidR="00A372CB" w:rsidRPr="0091701B">
        <w:rPr>
          <w:rFonts w:ascii="Bookman Old Style" w:hAnsi="Bookman Old Style" w:cs="Times New Roman"/>
        </w:rPr>
        <w:t xml:space="preserve"> </w:t>
      </w:r>
      <w:r w:rsidR="00A372CB" w:rsidRPr="0091701B">
        <w:rPr>
          <w:rFonts w:ascii="Bookman Old Style" w:hAnsi="Bookman Old Style" w:cs="Times New Roman"/>
          <w:b/>
          <w:bCs/>
        </w:rPr>
        <w:t>decorrere dal</w:t>
      </w:r>
      <w:r w:rsidR="00A372CB" w:rsidRPr="0091701B">
        <w:rPr>
          <w:rFonts w:ascii="Bookman Old Style" w:hAnsi="Bookman Old Style" w:cs="Times New Roman"/>
        </w:rPr>
        <w:t xml:space="preserve"> </w:t>
      </w:r>
      <w:r w:rsidR="00421728" w:rsidRPr="0091701B">
        <w:rPr>
          <w:rFonts w:ascii="Bookman Old Style" w:hAnsi="Bookman Old Style" w:cs="Times New Roman"/>
          <w:b/>
          <w:bCs/>
        </w:rPr>
        <w:t>1° luglio</w:t>
      </w:r>
      <w:r w:rsidR="00A372CB" w:rsidRPr="0091701B">
        <w:rPr>
          <w:rFonts w:ascii="Bookman Old Style" w:hAnsi="Bookman Old Style" w:cs="Times New Roman"/>
          <w:b/>
          <w:bCs/>
        </w:rPr>
        <w:t xml:space="preserve"> 2023</w:t>
      </w:r>
      <w:r w:rsidR="00A372CB" w:rsidRPr="0091701B">
        <w:rPr>
          <w:rFonts w:ascii="Bookman Old Style" w:hAnsi="Bookman Old Style" w:cs="Times New Roman"/>
        </w:rPr>
        <w:t xml:space="preserve">, </w:t>
      </w:r>
      <w:r w:rsidR="00A372CB" w:rsidRPr="0011540A">
        <w:rPr>
          <w:rFonts w:ascii="Bookman Old Style" w:hAnsi="Bookman Old Style" w:cs="Times New Roman"/>
          <w:u w:val="single"/>
        </w:rPr>
        <w:t>in luogo dei regolamenti e delle linee guida dell’ANAC</w:t>
      </w:r>
      <w:r w:rsidR="00942C6C">
        <w:rPr>
          <w:rFonts w:ascii="Bookman Old Style" w:hAnsi="Bookman Old Style" w:cs="Times New Roman"/>
        </w:rPr>
        <w:t>,</w:t>
      </w:r>
      <w:r w:rsidR="00A372CB" w:rsidRPr="00942C6C">
        <w:rPr>
          <w:rFonts w:ascii="Bookman Old Style" w:hAnsi="Bookman Old Style" w:cs="Times New Roman"/>
        </w:rPr>
        <w:t xml:space="preserve"> </w:t>
      </w:r>
      <w:r w:rsidR="00A372CB" w:rsidRPr="0091701B">
        <w:rPr>
          <w:rFonts w:ascii="Bookman Old Style" w:hAnsi="Bookman Old Style" w:cs="Times New Roman"/>
        </w:rPr>
        <w:t xml:space="preserve">adottati in attuazione del codice dei contratti pubblici, di cui al decreto legislativo n. 50 del 2016 e delle linee guida adottate dall’ANAC, laddove non diversamente previsto </w:t>
      </w:r>
      <w:r w:rsidR="00442E21">
        <w:rPr>
          <w:rFonts w:ascii="Bookman Old Style" w:hAnsi="Bookman Old Style" w:cs="Times New Roman"/>
        </w:rPr>
        <w:t>nel</w:t>
      </w:r>
      <w:r w:rsidR="00A372CB" w:rsidRPr="0091701B">
        <w:rPr>
          <w:rFonts w:ascii="Bookman Old Style" w:hAnsi="Bookman Old Style" w:cs="Times New Roman"/>
        </w:rPr>
        <w:t xml:space="preserve"> nuo</w:t>
      </w:r>
      <w:r w:rsidR="00442E21">
        <w:rPr>
          <w:rFonts w:ascii="Bookman Old Style" w:hAnsi="Bookman Old Style" w:cs="Times New Roman"/>
        </w:rPr>
        <w:t>vo codice</w:t>
      </w:r>
      <w:r w:rsidR="00A372CB" w:rsidRPr="0091701B">
        <w:rPr>
          <w:rFonts w:ascii="Bookman Old Style" w:hAnsi="Bookman Old Style" w:cs="Times New Roman"/>
        </w:rPr>
        <w:t xml:space="preserve">, </w:t>
      </w:r>
      <w:r w:rsidR="00A372CB" w:rsidRPr="0011540A">
        <w:rPr>
          <w:rFonts w:ascii="Bookman Old Style" w:hAnsi="Bookman Old Style" w:cs="Times New Roman"/>
          <w:u w:val="single"/>
        </w:rPr>
        <w:t>si applicano l</w:t>
      </w:r>
      <w:r w:rsidR="00A372CB" w:rsidRPr="002D7970">
        <w:rPr>
          <w:rFonts w:ascii="Bookman Old Style" w:hAnsi="Bookman Old Style" w:cs="Times New Roman"/>
          <w:u w:val="single"/>
        </w:rPr>
        <w:t xml:space="preserve">e corrispondenti disposizioni </w:t>
      </w:r>
      <w:r w:rsidR="004E0B2A" w:rsidRPr="002D7970">
        <w:rPr>
          <w:rFonts w:ascii="Bookman Old Style" w:hAnsi="Bookman Old Style" w:cs="Times New Roman"/>
          <w:u w:val="single"/>
        </w:rPr>
        <w:t>del</w:t>
      </w:r>
      <w:r w:rsidR="00442E21">
        <w:rPr>
          <w:rFonts w:ascii="Bookman Old Style" w:hAnsi="Bookman Old Style" w:cs="Times New Roman"/>
          <w:u w:val="single"/>
        </w:rPr>
        <w:t>lo stesso</w:t>
      </w:r>
      <w:r w:rsidR="00A372CB" w:rsidRPr="002D7970">
        <w:rPr>
          <w:rFonts w:ascii="Bookman Old Style" w:hAnsi="Bookman Old Style" w:cs="Times New Roman"/>
          <w:u w:val="single"/>
        </w:rPr>
        <w:t xml:space="preserve"> e dei suoi allegati.</w:t>
      </w:r>
    </w:p>
    <w:sectPr w:rsidR="00A372CB" w:rsidRPr="002D797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F8489" w14:textId="77777777" w:rsidR="008C4B78" w:rsidRDefault="008C4B78" w:rsidP="00E57451">
      <w:pPr>
        <w:spacing w:after="0" w:line="240" w:lineRule="auto"/>
      </w:pPr>
      <w:r>
        <w:separator/>
      </w:r>
    </w:p>
  </w:endnote>
  <w:endnote w:type="continuationSeparator" w:id="0">
    <w:p w14:paraId="1B6B21D5" w14:textId="77777777" w:rsidR="008C4B78" w:rsidRDefault="008C4B78" w:rsidP="00E5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402942"/>
      <w:docPartObj>
        <w:docPartGallery w:val="Page Numbers (Bottom of Page)"/>
        <w:docPartUnique/>
      </w:docPartObj>
    </w:sdtPr>
    <w:sdtEndPr/>
    <w:sdtContent>
      <w:p w14:paraId="2494ED8B" w14:textId="73C94EA8" w:rsidR="00E57451" w:rsidRDefault="00E574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689">
          <w:rPr>
            <w:noProof/>
          </w:rPr>
          <w:t>7</w:t>
        </w:r>
        <w:r>
          <w:fldChar w:fldCharType="end"/>
        </w:r>
      </w:p>
    </w:sdtContent>
  </w:sdt>
  <w:p w14:paraId="6B512DFC" w14:textId="77777777" w:rsidR="00E57451" w:rsidRDefault="00E574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4FD0A" w14:textId="77777777" w:rsidR="008C4B78" w:rsidRDefault="008C4B78" w:rsidP="00E57451">
      <w:pPr>
        <w:spacing w:after="0" w:line="240" w:lineRule="auto"/>
      </w:pPr>
      <w:r>
        <w:separator/>
      </w:r>
    </w:p>
  </w:footnote>
  <w:footnote w:type="continuationSeparator" w:id="0">
    <w:p w14:paraId="08719DBE" w14:textId="77777777" w:rsidR="008C4B78" w:rsidRDefault="008C4B78" w:rsidP="00E5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980"/>
    <w:multiLevelType w:val="hybridMultilevel"/>
    <w:tmpl w:val="F3E2DF8E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0AA325E"/>
    <w:multiLevelType w:val="hybridMultilevel"/>
    <w:tmpl w:val="15408A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2830"/>
    <w:multiLevelType w:val="hybridMultilevel"/>
    <w:tmpl w:val="FA1C9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3BEF"/>
    <w:multiLevelType w:val="hybridMultilevel"/>
    <w:tmpl w:val="F75C18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C3747"/>
    <w:multiLevelType w:val="hybridMultilevel"/>
    <w:tmpl w:val="A2983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A2554"/>
    <w:multiLevelType w:val="hybridMultilevel"/>
    <w:tmpl w:val="17E29F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4EB"/>
    <w:multiLevelType w:val="hybridMultilevel"/>
    <w:tmpl w:val="679EAA88"/>
    <w:lvl w:ilvl="0" w:tplc="9956F762">
      <w:start w:val="1"/>
      <w:numFmt w:val="lowerLetter"/>
      <w:lvlText w:val="%1)"/>
      <w:lvlJc w:val="left"/>
      <w:pPr>
        <w:ind w:left="1211" w:hanging="360"/>
      </w:pPr>
      <w:rPr>
        <w:rFonts w:ascii="Bookman Old Style" w:eastAsiaTheme="minorHAnsi" w:hAnsi="Bookman Old Style" w:cs="Times New Roman"/>
        <w:b/>
        <w:bCs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F3F3BCA"/>
    <w:multiLevelType w:val="hybridMultilevel"/>
    <w:tmpl w:val="8BF6BD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E354D"/>
    <w:multiLevelType w:val="hybridMultilevel"/>
    <w:tmpl w:val="3C029D04"/>
    <w:lvl w:ilvl="0" w:tplc="4B50AD3E">
      <w:start w:val="1"/>
      <w:numFmt w:val="lowerLetter"/>
      <w:lvlText w:val="%1)"/>
      <w:lvlJc w:val="left"/>
      <w:pPr>
        <w:ind w:left="785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42D5942"/>
    <w:multiLevelType w:val="hybridMultilevel"/>
    <w:tmpl w:val="93C470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F6F38"/>
    <w:multiLevelType w:val="hybridMultilevel"/>
    <w:tmpl w:val="D50492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B39AD"/>
    <w:multiLevelType w:val="hybridMultilevel"/>
    <w:tmpl w:val="0FD495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31E80"/>
    <w:multiLevelType w:val="hybridMultilevel"/>
    <w:tmpl w:val="A514A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F7C55"/>
    <w:multiLevelType w:val="hybridMultilevel"/>
    <w:tmpl w:val="28DCC3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B18DD"/>
    <w:multiLevelType w:val="hybridMultilevel"/>
    <w:tmpl w:val="1826E1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27E8C"/>
    <w:multiLevelType w:val="hybridMultilevel"/>
    <w:tmpl w:val="C9E02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31982"/>
    <w:multiLevelType w:val="hybridMultilevel"/>
    <w:tmpl w:val="0ABE8EF8"/>
    <w:lvl w:ilvl="0" w:tplc="8D1288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D56088"/>
    <w:multiLevelType w:val="hybridMultilevel"/>
    <w:tmpl w:val="2ADCB1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63F15"/>
    <w:multiLevelType w:val="hybridMultilevel"/>
    <w:tmpl w:val="B7B2D09C"/>
    <w:lvl w:ilvl="0" w:tplc="04100017">
      <w:start w:val="1"/>
      <w:numFmt w:val="lowerLetter"/>
      <w:lvlText w:val="%1)"/>
      <w:lvlJc w:val="left"/>
      <w:pPr>
        <w:ind w:left="1931" w:hanging="360"/>
      </w:p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>
    <w:nsid w:val="773214A4"/>
    <w:multiLevelType w:val="hybridMultilevel"/>
    <w:tmpl w:val="B0A08A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60452"/>
    <w:multiLevelType w:val="hybridMultilevel"/>
    <w:tmpl w:val="070468EC"/>
    <w:lvl w:ilvl="0" w:tplc="DF84830C">
      <w:start w:val="1"/>
      <w:numFmt w:val="bullet"/>
      <w:lvlText w:val="-"/>
      <w:lvlJc w:val="left"/>
      <w:pPr>
        <w:ind w:left="2370" w:hanging="360"/>
      </w:pPr>
      <w:rPr>
        <w:rFonts w:ascii="Bookman Old Style" w:eastAsiaTheme="minorHAns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>
    <w:nsid w:val="7F2926F3"/>
    <w:multiLevelType w:val="hybridMultilevel"/>
    <w:tmpl w:val="C6A2B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"/>
  </w:num>
  <w:num w:numId="5">
    <w:abstractNumId w:val="5"/>
  </w:num>
  <w:num w:numId="6">
    <w:abstractNumId w:val="3"/>
  </w:num>
  <w:num w:numId="7">
    <w:abstractNumId w:val="19"/>
  </w:num>
  <w:num w:numId="8">
    <w:abstractNumId w:val="15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1"/>
  </w:num>
  <w:num w:numId="16">
    <w:abstractNumId w:val="10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EA"/>
    <w:rsid w:val="00002D8D"/>
    <w:rsid w:val="00003AC6"/>
    <w:rsid w:val="00024DCA"/>
    <w:rsid w:val="00025165"/>
    <w:rsid w:val="00035869"/>
    <w:rsid w:val="000373E4"/>
    <w:rsid w:val="000443CE"/>
    <w:rsid w:val="00044FA6"/>
    <w:rsid w:val="00045CD1"/>
    <w:rsid w:val="00047AC3"/>
    <w:rsid w:val="000528F1"/>
    <w:rsid w:val="00052F3D"/>
    <w:rsid w:val="000755BF"/>
    <w:rsid w:val="00076C0E"/>
    <w:rsid w:val="000A0F5C"/>
    <w:rsid w:val="000A6BAF"/>
    <w:rsid w:val="000B044E"/>
    <w:rsid w:val="000B3CB2"/>
    <w:rsid w:val="000B4C32"/>
    <w:rsid w:val="000C7B69"/>
    <w:rsid w:val="000E5D86"/>
    <w:rsid w:val="00101AAC"/>
    <w:rsid w:val="00107A36"/>
    <w:rsid w:val="0011540A"/>
    <w:rsid w:val="00120F6D"/>
    <w:rsid w:val="00132514"/>
    <w:rsid w:val="00140624"/>
    <w:rsid w:val="00145086"/>
    <w:rsid w:val="00145E65"/>
    <w:rsid w:val="00147467"/>
    <w:rsid w:val="00151B0A"/>
    <w:rsid w:val="00152C76"/>
    <w:rsid w:val="00160D3C"/>
    <w:rsid w:val="00167922"/>
    <w:rsid w:val="001A33E8"/>
    <w:rsid w:val="001A3479"/>
    <w:rsid w:val="001A4398"/>
    <w:rsid w:val="001A4B95"/>
    <w:rsid w:val="001A52D6"/>
    <w:rsid w:val="001A7D2D"/>
    <w:rsid w:val="001B02B7"/>
    <w:rsid w:val="001B2778"/>
    <w:rsid w:val="001C10C2"/>
    <w:rsid w:val="001C3E4A"/>
    <w:rsid w:val="001D2088"/>
    <w:rsid w:val="001D3ABE"/>
    <w:rsid w:val="001F2EDF"/>
    <w:rsid w:val="001F7D4D"/>
    <w:rsid w:val="00211978"/>
    <w:rsid w:val="00223781"/>
    <w:rsid w:val="0024093B"/>
    <w:rsid w:val="00240A62"/>
    <w:rsid w:val="002517C5"/>
    <w:rsid w:val="00260E1D"/>
    <w:rsid w:val="00263064"/>
    <w:rsid w:val="0027043A"/>
    <w:rsid w:val="00283686"/>
    <w:rsid w:val="002B216F"/>
    <w:rsid w:val="002B3ED5"/>
    <w:rsid w:val="002D0FC8"/>
    <w:rsid w:val="002D491C"/>
    <w:rsid w:val="002D7970"/>
    <w:rsid w:val="002E01A6"/>
    <w:rsid w:val="002F1705"/>
    <w:rsid w:val="002F60E8"/>
    <w:rsid w:val="002F77EE"/>
    <w:rsid w:val="003004BF"/>
    <w:rsid w:val="00300A51"/>
    <w:rsid w:val="00305D45"/>
    <w:rsid w:val="0031397D"/>
    <w:rsid w:val="003145D7"/>
    <w:rsid w:val="00362A5C"/>
    <w:rsid w:val="00363AE4"/>
    <w:rsid w:val="00382561"/>
    <w:rsid w:val="003877C3"/>
    <w:rsid w:val="003C6985"/>
    <w:rsid w:val="003D5384"/>
    <w:rsid w:val="003E2EA8"/>
    <w:rsid w:val="003E4FFA"/>
    <w:rsid w:val="003F444A"/>
    <w:rsid w:val="003F548E"/>
    <w:rsid w:val="00401BE5"/>
    <w:rsid w:val="0040783D"/>
    <w:rsid w:val="00413399"/>
    <w:rsid w:val="00421728"/>
    <w:rsid w:val="004236B3"/>
    <w:rsid w:val="00441FD5"/>
    <w:rsid w:val="00442E21"/>
    <w:rsid w:val="00444248"/>
    <w:rsid w:val="004458BB"/>
    <w:rsid w:val="004511A1"/>
    <w:rsid w:val="0045286B"/>
    <w:rsid w:val="00456C60"/>
    <w:rsid w:val="004601FF"/>
    <w:rsid w:val="0046481E"/>
    <w:rsid w:val="0047166C"/>
    <w:rsid w:val="00472C6B"/>
    <w:rsid w:val="0047533E"/>
    <w:rsid w:val="0047569C"/>
    <w:rsid w:val="00484391"/>
    <w:rsid w:val="004854C0"/>
    <w:rsid w:val="004932D6"/>
    <w:rsid w:val="004970BD"/>
    <w:rsid w:val="004A01EB"/>
    <w:rsid w:val="004A1A33"/>
    <w:rsid w:val="004A2D57"/>
    <w:rsid w:val="004D55EB"/>
    <w:rsid w:val="004D5FA8"/>
    <w:rsid w:val="004E0B2A"/>
    <w:rsid w:val="004E736E"/>
    <w:rsid w:val="0050154E"/>
    <w:rsid w:val="005016A5"/>
    <w:rsid w:val="005040C9"/>
    <w:rsid w:val="005144B7"/>
    <w:rsid w:val="0051538C"/>
    <w:rsid w:val="0054785D"/>
    <w:rsid w:val="00550B35"/>
    <w:rsid w:val="0055198A"/>
    <w:rsid w:val="00552589"/>
    <w:rsid w:val="005540C4"/>
    <w:rsid w:val="0056145E"/>
    <w:rsid w:val="00564302"/>
    <w:rsid w:val="0058358E"/>
    <w:rsid w:val="0058773D"/>
    <w:rsid w:val="005B11C8"/>
    <w:rsid w:val="005B68C4"/>
    <w:rsid w:val="005C4E1D"/>
    <w:rsid w:val="005C5E89"/>
    <w:rsid w:val="005C7245"/>
    <w:rsid w:val="005D664C"/>
    <w:rsid w:val="005F5161"/>
    <w:rsid w:val="00600EB3"/>
    <w:rsid w:val="00610FA5"/>
    <w:rsid w:val="00614348"/>
    <w:rsid w:val="00616CAC"/>
    <w:rsid w:val="0063628F"/>
    <w:rsid w:val="00645B01"/>
    <w:rsid w:val="00656B86"/>
    <w:rsid w:val="00664FFA"/>
    <w:rsid w:val="00671689"/>
    <w:rsid w:val="006778CD"/>
    <w:rsid w:val="006A1C44"/>
    <w:rsid w:val="006A50C5"/>
    <w:rsid w:val="006B1955"/>
    <w:rsid w:val="006C371D"/>
    <w:rsid w:val="006C40F7"/>
    <w:rsid w:val="006C4B99"/>
    <w:rsid w:val="006C50B4"/>
    <w:rsid w:val="006C7631"/>
    <w:rsid w:val="006D109E"/>
    <w:rsid w:val="006D1B5A"/>
    <w:rsid w:val="0070544E"/>
    <w:rsid w:val="0071648F"/>
    <w:rsid w:val="0071755C"/>
    <w:rsid w:val="00722D8B"/>
    <w:rsid w:val="00733A97"/>
    <w:rsid w:val="00743486"/>
    <w:rsid w:val="0074675B"/>
    <w:rsid w:val="007519DD"/>
    <w:rsid w:val="00754E63"/>
    <w:rsid w:val="00756506"/>
    <w:rsid w:val="0076468E"/>
    <w:rsid w:val="0076787F"/>
    <w:rsid w:val="0077230E"/>
    <w:rsid w:val="00774568"/>
    <w:rsid w:val="0077763D"/>
    <w:rsid w:val="00780749"/>
    <w:rsid w:val="00780D04"/>
    <w:rsid w:val="00790440"/>
    <w:rsid w:val="007976F8"/>
    <w:rsid w:val="007A01FF"/>
    <w:rsid w:val="007A0CCF"/>
    <w:rsid w:val="007A1BD9"/>
    <w:rsid w:val="007A7B72"/>
    <w:rsid w:val="007B4B49"/>
    <w:rsid w:val="007B7275"/>
    <w:rsid w:val="007C18E4"/>
    <w:rsid w:val="007D1692"/>
    <w:rsid w:val="007D1EDE"/>
    <w:rsid w:val="007D7FD7"/>
    <w:rsid w:val="007E141E"/>
    <w:rsid w:val="007E1D23"/>
    <w:rsid w:val="007E6237"/>
    <w:rsid w:val="007F06A9"/>
    <w:rsid w:val="007F16D8"/>
    <w:rsid w:val="00827ADE"/>
    <w:rsid w:val="00830D50"/>
    <w:rsid w:val="00831FBA"/>
    <w:rsid w:val="00834865"/>
    <w:rsid w:val="0083741E"/>
    <w:rsid w:val="00857BCE"/>
    <w:rsid w:val="00857EE4"/>
    <w:rsid w:val="00861A5A"/>
    <w:rsid w:val="0086348F"/>
    <w:rsid w:val="00863897"/>
    <w:rsid w:val="008674BA"/>
    <w:rsid w:val="00871987"/>
    <w:rsid w:val="0087742D"/>
    <w:rsid w:val="00886670"/>
    <w:rsid w:val="008A0581"/>
    <w:rsid w:val="008A3010"/>
    <w:rsid w:val="008A3F78"/>
    <w:rsid w:val="008B347E"/>
    <w:rsid w:val="008B362E"/>
    <w:rsid w:val="008B6403"/>
    <w:rsid w:val="008C4B78"/>
    <w:rsid w:val="008D693A"/>
    <w:rsid w:val="008D702F"/>
    <w:rsid w:val="008E4A0B"/>
    <w:rsid w:val="008E4A37"/>
    <w:rsid w:val="008E4ACE"/>
    <w:rsid w:val="008E659C"/>
    <w:rsid w:val="008F6424"/>
    <w:rsid w:val="00904717"/>
    <w:rsid w:val="00907C1A"/>
    <w:rsid w:val="00912CFC"/>
    <w:rsid w:val="00914C22"/>
    <w:rsid w:val="009156B6"/>
    <w:rsid w:val="0091701B"/>
    <w:rsid w:val="009424CF"/>
    <w:rsid w:val="00942C6C"/>
    <w:rsid w:val="00945C4C"/>
    <w:rsid w:val="00957E11"/>
    <w:rsid w:val="00962304"/>
    <w:rsid w:val="00963004"/>
    <w:rsid w:val="00977516"/>
    <w:rsid w:val="00990FE0"/>
    <w:rsid w:val="009A40C6"/>
    <w:rsid w:val="009A4A50"/>
    <w:rsid w:val="009A7483"/>
    <w:rsid w:val="009B1E12"/>
    <w:rsid w:val="009B5653"/>
    <w:rsid w:val="009C5EEB"/>
    <w:rsid w:val="009D46C1"/>
    <w:rsid w:val="009D64CD"/>
    <w:rsid w:val="009F22D2"/>
    <w:rsid w:val="009F7C4E"/>
    <w:rsid w:val="00A001EA"/>
    <w:rsid w:val="00A043AF"/>
    <w:rsid w:val="00A1424F"/>
    <w:rsid w:val="00A17283"/>
    <w:rsid w:val="00A27470"/>
    <w:rsid w:val="00A372CB"/>
    <w:rsid w:val="00A41A7D"/>
    <w:rsid w:val="00A4230A"/>
    <w:rsid w:val="00A42D46"/>
    <w:rsid w:val="00A46F2B"/>
    <w:rsid w:val="00A46FA9"/>
    <w:rsid w:val="00A53B52"/>
    <w:rsid w:val="00A54198"/>
    <w:rsid w:val="00A647D6"/>
    <w:rsid w:val="00A659F9"/>
    <w:rsid w:val="00A66253"/>
    <w:rsid w:val="00A75538"/>
    <w:rsid w:val="00A8557C"/>
    <w:rsid w:val="00A92CE7"/>
    <w:rsid w:val="00A93018"/>
    <w:rsid w:val="00A93AF1"/>
    <w:rsid w:val="00AA3037"/>
    <w:rsid w:val="00AB1C42"/>
    <w:rsid w:val="00AB5ECE"/>
    <w:rsid w:val="00AB7A69"/>
    <w:rsid w:val="00AC4D14"/>
    <w:rsid w:val="00AD6A7D"/>
    <w:rsid w:val="00AE4B72"/>
    <w:rsid w:val="00B02BC0"/>
    <w:rsid w:val="00B03389"/>
    <w:rsid w:val="00B211DC"/>
    <w:rsid w:val="00B21B50"/>
    <w:rsid w:val="00B30D07"/>
    <w:rsid w:val="00B320DF"/>
    <w:rsid w:val="00B34FE3"/>
    <w:rsid w:val="00B35AEB"/>
    <w:rsid w:val="00B5764D"/>
    <w:rsid w:val="00B8005C"/>
    <w:rsid w:val="00B91837"/>
    <w:rsid w:val="00B96927"/>
    <w:rsid w:val="00BA389C"/>
    <w:rsid w:val="00BB47F4"/>
    <w:rsid w:val="00BB540F"/>
    <w:rsid w:val="00BB5C14"/>
    <w:rsid w:val="00BC2073"/>
    <w:rsid w:val="00BC271E"/>
    <w:rsid w:val="00BC6A99"/>
    <w:rsid w:val="00BD4DA1"/>
    <w:rsid w:val="00BF1883"/>
    <w:rsid w:val="00BF4368"/>
    <w:rsid w:val="00BF5D39"/>
    <w:rsid w:val="00C054A6"/>
    <w:rsid w:val="00C11773"/>
    <w:rsid w:val="00C167B5"/>
    <w:rsid w:val="00C17AA8"/>
    <w:rsid w:val="00C17C56"/>
    <w:rsid w:val="00C25083"/>
    <w:rsid w:val="00C30D60"/>
    <w:rsid w:val="00C3121D"/>
    <w:rsid w:val="00C324AA"/>
    <w:rsid w:val="00C328D7"/>
    <w:rsid w:val="00C5356E"/>
    <w:rsid w:val="00C53EEA"/>
    <w:rsid w:val="00C65B92"/>
    <w:rsid w:val="00C70D0D"/>
    <w:rsid w:val="00C72476"/>
    <w:rsid w:val="00C77120"/>
    <w:rsid w:val="00CA3887"/>
    <w:rsid w:val="00CC2BCD"/>
    <w:rsid w:val="00CC370C"/>
    <w:rsid w:val="00CE205C"/>
    <w:rsid w:val="00CE4D6C"/>
    <w:rsid w:val="00CE5C78"/>
    <w:rsid w:val="00CE6A97"/>
    <w:rsid w:val="00D00133"/>
    <w:rsid w:val="00D01062"/>
    <w:rsid w:val="00D022F9"/>
    <w:rsid w:val="00D04E85"/>
    <w:rsid w:val="00D07C69"/>
    <w:rsid w:val="00D1494A"/>
    <w:rsid w:val="00D15F4F"/>
    <w:rsid w:val="00D202EE"/>
    <w:rsid w:val="00D27358"/>
    <w:rsid w:val="00D345AA"/>
    <w:rsid w:val="00D42B8C"/>
    <w:rsid w:val="00D51795"/>
    <w:rsid w:val="00D671DE"/>
    <w:rsid w:val="00D73341"/>
    <w:rsid w:val="00D8449C"/>
    <w:rsid w:val="00D91C92"/>
    <w:rsid w:val="00DA4DFC"/>
    <w:rsid w:val="00DA78D7"/>
    <w:rsid w:val="00DB646A"/>
    <w:rsid w:val="00DC5777"/>
    <w:rsid w:val="00DD2356"/>
    <w:rsid w:val="00DD2BE9"/>
    <w:rsid w:val="00DD6D3F"/>
    <w:rsid w:val="00DD70FE"/>
    <w:rsid w:val="00DF198C"/>
    <w:rsid w:val="00E025E2"/>
    <w:rsid w:val="00E1591C"/>
    <w:rsid w:val="00E270DC"/>
    <w:rsid w:val="00E271DE"/>
    <w:rsid w:val="00E400AB"/>
    <w:rsid w:val="00E44B77"/>
    <w:rsid w:val="00E53EEC"/>
    <w:rsid w:val="00E57451"/>
    <w:rsid w:val="00E62812"/>
    <w:rsid w:val="00E6344C"/>
    <w:rsid w:val="00E649F9"/>
    <w:rsid w:val="00E664A7"/>
    <w:rsid w:val="00E74E0A"/>
    <w:rsid w:val="00E75B53"/>
    <w:rsid w:val="00E80CB8"/>
    <w:rsid w:val="00E93478"/>
    <w:rsid w:val="00E93A05"/>
    <w:rsid w:val="00E943B9"/>
    <w:rsid w:val="00E97B49"/>
    <w:rsid w:val="00EA11DD"/>
    <w:rsid w:val="00EA6D9B"/>
    <w:rsid w:val="00EA76E6"/>
    <w:rsid w:val="00EB0332"/>
    <w:rsid w:val="00EB0728"/>
    <w:rsid w:val="00EB3873"/>
    <w:rsid w:val="00EB7DC2"/>
    <w:rsid w:val="00EC34A1"/>
    <w:rsid w:val="00EC3B48"/>
    <w:rsid w:val="00ED39B2"/>
    <w:rsid w:val="00EE7CCD"/>
    <w:rsid w:val="00EF033D"/>
    <w:rsid w:val="00F0033F"/>
    <w:rsid w:val="00F17395"/>
    <w:rsid w:val="00F30AB8"/>
    <w:rsid w:val="00F373BE"/>
    <w:rsid w:val="00F46485"/>
    <w:rsid w:val="00F5455C"/>
    <w:rsid w:val="00F634FE"/>
    <w:rsid w:val="00F7696C"/>
    <w:rsid w:val="00F837D5"/>
    <w:rsid w:val="00F929D7"/>
    <w:rsid w:val="00F949F1"/>
    <w:rsid w:val="00F975B4"/>
    <w:rsid w:val="00FB5B8A"/>
    <w:rsid w:val="00FC21DE"/>
    <w:rsid w:val="00FC2D9C"/>
    <w:rsid w:val="00FC3020"/>
    <w:rsid w:val="00FC5D6B"/>
    <w:rsid w:val="00FD37E9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7584"/>
  <w15:chartTrackingRefBased/>
  <w15:docId w15:val="{3AC2EC2C-1E06-4FD9-A5D1-499596C2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253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451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5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451"/>
    <w:rPr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A647D6"/>
    <w:pPr>
      <w:ind w:left="720"/>
      <w:contextualSpacing/>
    </w:pPr>
  </w:style>
  <w:style w:type="paragraph" w:styleId="Revisione">
    <w:name w:val="Revision"/>
    <w:hidden/>
    <w:uiPriority w:val="99"/>
    <w:semiHidden/>
    <w:rsid w:val="00AB7A6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15DE-E204-4B71-99B3-C7A5F6F7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Bari</dc:creator>
  <cp:keywords/>
  <dc:description/>
  <cp:lastModifiedBy>Claudia Polli</cp:lastModifiedBy>
  <cp:revision>2</cp:revision>
  <dcterms:created xsi:type="dcterms:W3CDTF">2023-04-03T10:02:00Z</dcterms:created>
  <dcterms:modified xsi:type="dcterms:W3CDTF">2023-04-03T10:02:00Z</dcterms:modified>
</cp:coreProperties>
</file>