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7A12B" w14:textId="77777777" w:rsidR="002E4E12" w:rsidRDefault="002E4E12" w:rsidP="007B3627">
      <w:pPr>
        <w:rPr>
          <w:rFonts w:ascii="Bookman Old Style" w:hAnsi="Bookman Old Style"/>
        </w:rPr>
      </w:pPr>
    </w:p>
    <w:p w14:paraId="75C31344" w14:textId="77777777" w:rsidR="0055080C" w:rsidRDefault="0055080C" w:rsidP="002E4E12">
      <w:pPr>
        <w:rPr>
          <w:rFonts w:ascii="Bookman Old Style" w:hAnsi="Bookman Old Style"/>
          <w:b/>
          <w:bCs/>
        </w:rPr>
      </w:pPr>
    </w:p>
    <w:p w14:paraId="141DE897" w14:textId="241E05A0" w:rsidR="0055080C" w:rsidRPr="00231FDB" w:rsidRDefault="0055080C" w:rsidP="0055080C">
      <w:pPr>
        <w:pStyle w:val="Default"/>
        <w:jc w:val="both"/>
        <w:rPr>
          <w:rFonts w:ascii="Bookman Old Style" w:hAnsi="Bookman Old Style"/>
          <w:color w:val="4472C4" w:themeColor="accent1"/>
          <w:sz w:val="22"/>
          <w:szCs w:val="22"/>
        </w:rPr>
      </w:pPr>
      <w:r w:rsidRPr="00231FDB">
        <w:rPr>
          <w:rFonts w:ascii="Bookman Old Style" w:hAnsi="Bookman Old Style"/>
          <w:color w:val="4472C4" w:themeColor="accent1"/>
          <w:sz w:val="22"/>
          <w:szCs w:val="22"/>
        </w:rPr>
        <w:t xml:space="preserve">Roma, </w:t>
      </w:r>
      <w:r w:rsidR="00527885">
        <w:rPr>
          <w:rFonts w:ascii="Bookman Old Style" w:hAnsi="Bookman Old Style"/>
          <w:color w:val="4472C4" w:themeColor="accent1"/>
          <w:sz w:val="22"/>
          <w:szCs w:val="22"/>
        </w:rPr>
        <w:t>2</w:t>
      </w:r>
      <w:r w:rsidR="00750A09">
        <w:rPr>
          <w:rFonts w:ascii="Bookman Old Style" w:hAnsi="Bookman Old Style"/>
          <w:color w:val="4472C4" w:themeColor="accent1"/>
          <w:sz w:val="22"/>
          <w:szCs w:val="22"/>
        </w:rPr>
        <w:t>3</w:t>
      </w:r>
      <w:r w:rsidR="00527885">
        <w:rPr>
          <w:rFonts w:ascii="Bookman Old Style" w:hAnsi="Bookman Old Style"/>
          <w:color w:val="4472C4" w:themeColor="accent1"/>
          <w:sz w:val="22"/>
          <w:szCs w:val="22"/>
        </w:rPr>
        <w:t xml:space="preserve"> </w:t>
      </w:r>
      <w:r>
        <w:rPr>
          <w:rFonts w:ascii="Bookman Old Style" w:hAnsi="Bookman Old Style"/>
          <w:color w:val="4472C4" w:themeColor="accent1"/>
          <w:sz w:val="22"/>
          <w:szCs w:val="22"/>
        </w:rPr>
        <w:t>febbraio</w:t>
      </w:r>
      <w:r w:rsidRPr="00231FDB">
        <w:rPr>
          <w:rFonts w:ascii="Bookman Old Style" w:hAnsi="Bookman Old Style"/>
          <w:color w:val="4472C4" w:themeColor="accent1"/>
          <w:sz w:val="22"/>
          <w:szCs w:val="22"/>
        </w:rPr>
        <w:t xml:space="preserve"> 2023</w:t>
      </w:r>
    </w:p>
    <w:p w14:paraId="5A709B95" w14:textId="77777777" w:rsidR="0055080C" w:rsidRPr="00B9258D" w:rsidRDefault="0055080C" w:rsidP="0055080C">
      <w:pPr>
        <w:spacing w:after="0" w:line="240" w:lineRule="auto"/>
        <w:jc w:val="center"/>
        <w:rPr>
          <w:rFonts w:ascii="Bookman Old Style" w:hAnsi="Bookman Old Style"/>
          <w:b/>
        </w:rPr>
      </w:pPr>
      <w:r w:rsidRPr="00B9258D">
        <w:rPr>
          <w:rFonts w:ascii="Bookman Old Style" w:hAnsi="Bookman Old Style"/>
          <w:noProof/>
          <w:lang w:eastAsia="it-IT"/>
        </w:rPr>
        <w:drawing>
          <wp:inline distT="0" distB="0" distL="0" distR="0" wp14:anchorId="6F0B4972" wp14:editId="1F0D7DFF">
            <wp:extent cx="619125" cy="923925"/>
            <wp:effectExtent l="0" t="0" r="9525" b="9525"/>
            <wp:docPr id="1" name="Immagine 1"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3" descr="Immagine che contiene disegnando&#10;&#10;Descrizione generata automaticamen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9125" cy="923925"/>
                    </a:xfrm>
                    <a:prstGeom prst="rect">
                      <a:avLst/>
                    </a:prstGeom>
                    <a:noFill/>
                    <a:ln>
                      <a:noFill/>
                    </a:ln>
                  </pic:spPr>
                </pic:pic>
              </a:graphicData>
            </a:graphic>
          </wp:inline>
        </w:drawing>
      </w:r>
    </w:p>
    <w:p w14:paraId="2D0D7BD8" w14:textId="77777777" w:rsidR="0055080C" w:rsidRPr="00B9258D" w:rsidRDefault="0055080C" w:rsidP="0055080C">
      <w:pPr>
        <w:spacing w:after="0" w:line="240" w:lineRule="auto"/>
        <w:jc w:val="center"/>
        <w:rPr>
          <w:rFonts w:ascii="Bookman Old Style" w:hAnsi="Bookman Old Style"/>
          <w:b/>
        </w:rPr>
      </w:pPr>
    </w:p>
    <w:p w14:paraId="7954E9B4" w14:textId="77777777" w:rsidR="0055080C" w:rsidRDefault="0055080C" w:rsidP="0055080C">
      <w:pPr>
        <w:spacing w:after="0" w:line="252" w:lineRule="auto"/>
        <w:contextualSpacing/>
        <w:jc w:val="center"/>
        <w:rPr>
          <w:rFonts w:ascii="Bookman Old Style" w:hAnsi="Bookman Old Style"/>
          <w:color w:val="FF0000"/>
        </w:rPr>
      </w:pPr>
    </w:p>
    <w:p w14:paraId="49968F3B" w14:textId="77777777" w:rsidR="0055080C" w:rsidRDefault="0055080C" w:rsidP="0055080C">
      <w:pPr>
        <w:spacing w:after="0" w:line="252" w:lineRule="auto"/>
        <w:contextualSpacing/>
        <w:jc w:val="center"/>
        <w:rPr>
          <w:rFonts w:ascii="Bookman Old Style" w:hAnsi="Bookman Old Style"/>
          <w:color w:val="FF0000"/>
        </w:rPr>
      </w:pPr>
    </w:p>
    <w:p w14:paraId="3001B98E" w14:textId="77777777" w:rsidR="0055080C" w:rsidRPr="00D5746B" w:rsidRDefault="0055080C" w:rsidP="0055080C">
      <w:pPr>
        <w:spacing w:after="0" w:line="252" w:lineRule="auto"/>
        <w:contextualSpacing/>
        <w:jc w:val="center"/>
        <w:rPr>
          <w:rFonts w:ascii="Bookman Old Style" w:hAnsi="Bookman Old Style"/>
          <w:color w:val="FF0000"/>
        </w:rPr>
      </w:pPr>
    </w:p>
    <w:p w14:paraId="4D383E5F" w14:textId="77777777" w:rsidR="0055080C" w:rsidRDefault="0055080C" w:rsidP="0055080C">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jc w:val="center"/>
        <w:rPr>
          <w:rFonts w:ascii="Bookman Old Style" w:hAnsi="Bookman Old Style"/>
          <w:b/>
          <w:bCs/>
          <w:sz w:val="24"/>
          <w:szCs w:val="24"/>
        </w:rPr>
      </w:pPr>
    </w:p>
    <w:p w14:paraId="01BDAECA" w14:textId="77777777" w:rsidR="0055080C" w:rsidRDefault="0055080C" w:rsidP="0055080C">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jc w:val="center"/>
        <w:rPr>
          <w:rFonts w:ascii="Bookman Old Style" w:eastAsiaTheme="majorEastAsia" w:hAnsi="Bookman Old Style" w:cstheme="majorBidi"/>
          <w:b/>
          <w:bCs/>
          <w:color w:val="2F5496" w:themeColor="accent1" w:themeShade="BF"/>
        </w:rPr>
      </w:pPr>
      <w:r w:rsidRPr="00B51D2E">
        <w:rPr>
          <w:rFonts w:ascii="Bookman Old Style" w:eastAsiaTheme="majorEastAsia" w:hAnsi="Bookman Old Style" w:cstheme="majorBidi"/>
          <w:b/>
          <w:bCs/>
          <w:color w:val="2F5496" w:themeColor="accent1" w:themeShade="BF"/>
        </w:rPr>
        <w:t xml:space="preserve">DECRETO LEGGE 29 DICEMBRE 2022 N. 198 </w:t>
      </w:r>
    </w:p>
    <w:p w14:paraId="64E71A8D" w14:textId="77777777" w:rsidR="0055080C" w:rsidRDefault="0055080C" w:rsidP="0055080C">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jc w:val="center"/>
        <w:rPr>
          <w:rFonts w:ascii="Bookman Old Style" w:eastAsiaTheme="majorEastAsia" w:hAnsi="Bookman Old Style" w:cstheme="majorBidi"/>
          <w:b/>
          <w:bCs/>
          <w:color w:val="2F5496" w:themeColor="accent1" w:themeShade="BF"/>
        </w:rPr>
      </w:pPr>
      <w:r w:rsidRPr="00B51D2E">
        <w:rPr>
          <w:rFonts w:ascii="Bookman Old Style" w:eastAsiaTheme="majorEastAsia" w:hAnsi="Bookman Old Style" w:cstheme="majorBidi"/>
          <w:b/>
          <w:bCs/>
          <w:color w:val="2F5496" w:themeColor="accent1" w:themeShade="BF"/>
        </w:rPr>
        <w:t>“</w:t>
      </w:r>
      <w:r w:rsidRPr="00277E76">
        <w:rPr>
          <w:rFonts w:ascii="Bookman Old Style" w:eastAsiaTheme="majorEastAsia" w:hAnsi="Bookman Old Style" w:cstheme="majorBidi"/>
          <w:b/>
          <w:bCs/>
          <w:i/>
          <w:iCs/>
          <w:color w:val="2F5496" w:themeColor="accent1" w:themeShade="BF"/>
        </w:rPr>
        <w:t>DISPOSIZIONI URGENTI IN MATERIA DI TERMINI LEGISLATIVI</w:t>
      </w:r>
      <w:r w:rsidRPr="00B51D2E">
        <w:rPr>
          <w:rFonts w:ascii="Bookman Old Style" w:eastAsiaTheme="majorEastAsia" w:hAnsi="Bookman Old Style" w:cstheme="majorBidi"/>
          <w:b/>
          <w:bCs/>
          <w:color w:val="2F5496" w:themeColor="accent1" w:themeShade="BF"/>
        </w:rPr>
        <w:t xml:space="preserve">” </w:t>
      </w:r>
    </w:p>
    <w:p w14:paraId="10F282A6" w14:textId="49F33C90" w:rsidR="0055080C" w:rsidRDefault="0055080C" w:rsidP="0055080C">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jc w:val="center"/>
        <w:rPr>
          <w:rFonts w:ascii="Bookman Old Style" w:eastAsiaTheme="majorEastAsia" w:hAnsi="Bookman Old Style" w:cstheme="majorBidi"/>
          <w:b/>
          <w:bCs/>
          <w:color w:val="2F5496" w:themeColor="accent1" w:themeShade="BF"/>
        </w:rPr>
      </w:pPr>
      <w:r>
        <w:rPr>
          <w:rFonts w:ascii="Bookman Old Style" w:eastAsiaTheme="majorEastAsia" w:hAnsi="Bookman Old Style" w:cstheme="majorBidi"/>
          <w:b/>
          <w:bCs/>
          <w:color w:val="2F5496" w:themeColor="accent1" w:themeShade="BF"/>
        </w:rPr>
        <w:t>-cd MILLEPROROGHE-</w:t>
      </w:r>
      <w:r w:rsidR="001A604A">
        <w:rPr>
          <w:rFonts w:ascii="Bookman Old Style" w:eastAsiaTheme="majorEastAsia" w:hAnsi="Bookman Old Style" w:cstheme="majorBidi"/>
          <w:b/>
          <w:bCs/>
          <w:color w:val="2F5496" w:themeColor="accent1" w:themeShade="BF"/>
        </w:rPr>
        <w:t>convertito in LEGGE</w:t>
      </w:r>
    </w:p>
    <w:p w14:paraId="428AC23E" w14:textId="77777777" w:rsidR="0055080C" w:rsidRDefault="0055080C" w:rsidP="0055080C">
      <w:pPr>
        <w:pBdr>
          <w:top w:val="single" w:sz="4" w:space="1" w:color="auto"/>
          <w:left w:val="single" w:sz="4" w:space="4" w:color="auto"/>
          <w:bottom w:val="single" w:sz="4" w:space="1" w:color="auto"/>
          <w:right w:val="single" w:sz="4" w:space="4" w:color="auto"/>
        </w:pBdr>
        <w:shd w:val="clear" w:color="auto" w:fill="E7E6E6" w:themeFill="background2"/>
        <w:autoSpaceDE w:val="0"/>
        <w:autoSpaceDN w:val="0"/>
        <w:adjustRightInd w:val="0"/>
        <w:spacing w:after="0" w:line="240" w:lineRule="auto"/>
        <w:jc w:val="center"/>
        <w:rPr>
          <w:rFonts w:ascii="Bookman Old Style" w:eastAsiaTheme="majorEastAsia" w:hAnsi="Bookman Old Style" w:cstheme="majorBidi"/>
          <w:b/>
          <w:bCs/>
          <w:color w:val="2F5496" w:themeColor="accent1" w:themeShade="BF"/>
        </w:rPr>
      </w:pPr>
    </w:p>
    <w:p w14:paraId="604A973E" w14:textId="77777777" w:rsidR="0055080C" w:rsidRPr="0095247F" w:rsidRDefault="0055080C" w:rsidP="0055080C">
      <w:pPr>
        <w:spacing w:after="0" w:line="252" w:lineRule="auto"/>
        <w:contextualSpacing/>
        <w:jc w:val="center"/>
        <w:rPr>
          <w:rFonts w:ascii="Bookman Old Style" w:hAnsi="Bookman Old Style" w:cs="TimesNewRomanPS-BoldItalicMT"/>
          <w:b/>
          <w:bCs/>
        </w:rPr>
      </w:pPr>
    </w:p>
    <w:p w14:paraId="289913BF" w14:textId="77777777" w:rsidR="0055080C" w:rsidRPr="0095247F" w:rsidRDefault="0055080C" w:rsidP="0055080C">
      <w:pPr>
        <w:spacing w:after="0" w:line="252" w:lineRule="auto"/>
        <w:contextualSpacing/>
        <w:jc w:val="center"/>
        <w:rPr>
          <w:rFonts w:ascii="Bookman Old Style" w:hAnsi="Bookman Old Style" w:cs="TimesNewRomanPS-BoldItalicMT"/>
          <w:b/>
          <w:bCs/>
        </w:rPr>
      </w:pPr>
    </w:p>
    <w:p w14:paraId="2CB03828" w14:textId="0123D0E0" w:rsidR="0055080C" w:rsidRPr="0095247F" w:rsidRDefault="0055080C" w:rsidP="0055080C">
      <w:pPr>
        <w:spacing w:after="0" w:line="252" w:lineRule="auto"/>
        <w:contextualSpacing/>
        <w:jc w:val="center"/>
        <w:rPr>
          <w:rFonts w:ascii="Bookman Old Style" w:hAnsi="Bookman Old Style"/>
          <w:b/>
          <w:bCs/>
        </w:rPr>
      </w:pPr>
      <w:r w:rsidRPr="00D97C17">
        <w:rPr>
          <w:rFonts w:ascii="Bookman Old Style" w:hAnsi="Bookman Old Style" w:cs="TimesNewRomanPS-BoldItalicMT"/>
          <w:b/>
          <w:bCs/>
          <w:color w:val="FF0000"/>
        </w:rPr>
        <w:t>NOTA SINTETICA</w:t>
      </w:r>
      <w:r>
        <w:rPr>
          <w:rFonts w:ascii="Bookman Old Style" w:hAnsi="Bookman Old Style" w:cs="TimesNewRomanPS-BoldItalicMT"/>
          <w:b/>
          <w:bCs/>
          <w:color w:val="FF0000"/>
        </w:rPr>
        <w:t xml:space="preserve"> SULLE NORME DI INTERESSE </w:t>
      </w:r>
    </w:p>
    <w:p w14:paraId="7F671791" w14:textId="77777777" w:rsidR="0055080C" w:rsidRDefault="0055080C" w:rsidP="0055080C">
      <w:pPr>
        <w:spacing w:after="0" w:line="252" w:lineRule="auto"/>
        <w:contextualSpacing/>
        <w:jc w:val="center"/>
        <w:rPr>
          <w:rFonts w:ascii="Bookman Old Style" w:hAnsi="Bookman Old Style"/>
          <w:b/>
          <w:bCs/>
        </w:rPr>
      </w:pPr>
    </w:p>
    <w:p w14:paraId="310008FE" w14:textId="77777777" w:rsidR="0055080C" w:rsidRDefault="0055080C" w:rsidP="0055080C">
      <w:pPr>
        <w:spacing w:after="0" w:line="252" w:lineRule="auto"/>
        <w:contextualSpacing/>
        <w:jc w:val="center"/>
        <w:rPr>
          <w:rFonts w:ascii="Bookman Old Style" w:hAnsi="Bookman Old Style"/>
          <w:b/>
          <w:bCs/>
        </w:rPr>
      </w:pPr>
    </w:p>
    <w:p w14:paraId="6965C0BA" w14:textId="77777777" w:rsidR="0055080C" w:rsidRPr="00B9258D" w:rsidRDefault="0055080C" w:rsidP="0055080C">
      <w:pPr>
        <w:spacing w:after="0" w:line="252" w:lineRule="auto"/>
        <w:contextualSpacing/>
        <w:jc w:val="center"/>
        <w:rPr>
          <w:rFonts w:ascii="Bookman Old Style" w:hAnsi="Bookman Old Style"/>
          <w:b/>
          <w:bCs/>
        </w:rPr>
      </w:pPr>
    </w:p>
    <w:p w14:paraId="7F9F9235" w14:textId="77777777" w:rsidR="0055080C" w:rsidRPr="004F1FBF" w:rsidRDefault="0055080C" w:rsidP="0055080C">
      <w:pPr>
        <w:autoSpaceDE w:val="0"/>
        <w:autoSpaceDN w:val="0"/>
        <w:spacing w:after="0" w:line="240" w:lineRule="auto"/>
        <w:jc w:val="both"/>
        <w:rPr>
          <w:rFonts w:ascii="Bookman Old Style" w:eastAsiaTheme="majorEastAsia" w:hAnsi="Bookman Old Style" w:cstheme="majorBidi"/>
          <w:b/>
          <w:bCs/>
          <w:color w:val="2F5496" w:themeColor="accent1" w:themeShade="BF"/>
        </w:rPr>
      </w:pPr>
      <w:r w:rsidRPr="004F1FBF">
        <w:rPr>
          <w:rFonts w:ascii="Bookman Old Style" w:eastAsiaTheme="majorEastAsia" w:hAnsi="Bookman Old Style" w:cstheme="majorBidi"/>
          <w:b/>
          <w:bCs/>
          <w:color w:val="2F5496" w:themeColor="accent1" w:themeShade="BF"/>
        </w:rPr>
        <w:t>PREMESSA</w:t>
      </w:r>
    </w:p>
    <w:p w14:paraId="06D9F515" w14:textId="6DA3F2B0" w:rsidR="0008575C" w:rsidRPr="005A3A33" w:rsidRDefault="0008575C" w:rsidP="0008575C">
      <w:pPr>
        <w:autoSpaceDE w:val="0"/>
        <w:autoSpaceDN w:val="0"/>
        <w:spacing w:after="0" w:line="240" w:lineRule="auto"/>
        <w:jc w:val="both"/>
        <w:rPr>
          <w:rFonts w:ascii="Bookman Old Style" w:hAnsi="Bookman Old Style"/>
        </w:rPr>
      </w:pPr>
      <w:r w:rsidRPr="005A3A33">
        <w:rPr>
          <w:rFonts w:ascii="Bookman Old Style" w:hAnsi="Bookman Old Style"/>
        </w:rPr>
        <w:t>Il provvedimento</w:t>
      </w:r>
      <w:r w:rsidR="005C4BAC">
        <w:rPr>
          <w:rFonts w:ascii="Bookman Old Style" w:hAnsi="Bookman Old Style"/>
        </w:rPr>
        <w:t xml:space="preserve"> è stato approvato in </w:t>
      </w:r>
      <w:r w:rsidR="005F215D">
        <w:rPr>
          <w:rFonts w:ascii="Bookman Old Style" w:hAnsi="Bookman Old Style"/>
        </w:rPr>
        <w:t>legge con voto di fiducia</w:t>
      </w:r>
      <w:r w:rsidR="005C4BAC">
        <w:rPr>
          <w:rFonts w:ascii="Bookman Old Style" w:hAnsi="Bookman Old Style"/>
        </w:rPr>
        <w:t xml:space="preserve"> da</w:t>
      </w:r>
      <w:r w:rsidRPr="005A3A33">
        <w:rPr>
          <w:rFonts w:ascii="Bookman Old Style" w:hAnsi="Bookman Old Style"/>
        </w:rPr>
        <w:t xml:space="preserve">lla Camera </w:t>
      </w:r>
      <w:r w:rsidR="005C4BAC">
        <w:rPr>
          <w:rFonts w:ascii="Bookman Old Style" w:hAnsi="Bookman Old Style"/>
        </w:rPr>
        <w:t>dei Deputat</w:t>
      </w:r>
      <w:r w:rsidR="00086041">
        <w:rPr>
          <w:rFonts w:ascii="Bookman Old Style" w:hAnsi="Bookman Old Style"/>
        </w:rPr>
        <w:t>i</w:t>
      </w:r>
      <w:r w:rsidR="005C4BAC">
        <w:rPr>
          <w:rFonts w:ascii="Bookman Old Style" w:hAnsi="Bookman Old Style"/>
        </w:rPr>
        <w:t xml:space="preserve"> il 22 febbraio u.s</w:t>
      </w:r>
      <w:r w:rsidR="00171552">
        <w:rPr>
          <w:rFonts w:ascii="Bookman Old Style" w:hAnsi="Bookman Old Style"/>
        </w:rPr>
        <w:t>.</w:t>
      </w:r>
      <w:r w:rsidR="005C4BAC">
        <w:rPr>
          <w:rFonts w:ascii="Bookman Old Style" w:hAnsi="Bookman Old Style"/>
        </w:rPr>
        <w:t>.</w:t>
      </w:r>
      <w:r w:rsidR="005721E2">
        <w:rPr>
          <w:rFonts w:ascii="Bookman Old Style" w:hAnsi="Bookman Old Style"/>
        </w:rPr>
        <w:t xml:space="preserve"> S</w:t>
      </w:r>
      <w:r w:rsidR="005F215D">
        <w:rPr>
          <w:rFonts w:ascii="Bookman Old Style" w:hAnsi="Bookman Old Style"/>
        </w:rPr>
        <w:t>e ne</w:t>
      </w:r>
      <w:r w:rsidR="00C03C19">
        <w:rPr>
          <w:rFonts w:ascii="Bookman Old Style" w:hAnsi="Bookman Old Style"/>
        </w:rPr>
        <w:t xml:space="preserve"> attende o</w:t>
      </w:r>
      <w:r w:rsidR="005721E2">
        <w:rPr>
          <w:rFonts w:ascii="Bookman Old Style" w:hAnsi="Bookman Old Style"/>
        </w:rPr>
        <w:t>ra la pubblicazione in G</w:t>
      </w:r>
      <w:r w:rsidR="00C03C19">
        <w:rPr>
          <w:rFonts w:ascii="Bookman Old Style" w:hAnsi="Bookman Old Style"/>
        </w:rPr>
        <w:t>azzetta Ufficiale.</w:t>
      </w:r>
    </w:p>
    <w:p w14:paraId="729BD1B6" w14:textId="352CAF12" w:rsidR="0008575C" w:rsidRPr="005A3A33" w:rsidRDefault="00A419B0" w:rsidP="0008575C">
      <w:pPr>
        <w:autoSpaceDE w:val="0"/>
        <w:autoSpaceDN w:val="0"/>
        <w:spacing w:after="0" w:line="240" w:lineRule="auto"/>
        <w:jc w:val="both"/>
        <w:rPr>
          <w:rFonts w:ascii="Bookman Old Style" w:hAnsi="Bookman Old Style"/>
        </w:rPr>
      </w:pPr>
      <w:r>
        <w:rPr>
          <w:rFonts w:ascii="Bookman Old Style" w:hAnsi="Bookman Old Style"/>
        </w:rPr>
        <w:t>Al fine di offrire una tempestiva informativa sui contenuti del provvedimento, s</w:t>
      </w:r>
      <w:r w:rsidR="0008575C" w:rsidRPr="005A3A33">
        <w:rPr>
          <w:rFonts w:ascii="Bookman Old Style" w:hAnsi="Bookman Old Style"/>
        </w:rPr>
        <w:t>i riporta di seguito una nota sintetica sulle disposizioni di maggior interesse di Comuni e Città metropolitane contenute nel provvedimento come modificato durante l’esame da parte del Senato.</w:t>
      </w:r>
    </w:p>
    <w:p w14:paraId="2C5E35A4" w14:textId="77777777" w:rsidR="0055080C" w:rsidRDefault="0055080C" w:rsidP="0055080C">
      <w:pPr>
        <w:autoSpaceDE w:val="0"/>
        <w:autoSpaceDN w:val="0"/>
        <w:spacing w:after="0" w:line="240" w:lineRule="auto"/>
        <w:jc w:val="both"/>
        <w:rPr>
          <w:rFonts w:ascii="Bookman Old Style" w:hAnsi="Bookman Old Style"/>
        </w:rPr>
      </w:pPr>
    </w:p>
    <w:p w14:paraId="632C010C" w14:textId="77777777" w:rsidR="00DC386A" w:rsidRPr="00A74974" w:rsidRDefault="008D066C" w:rsidP="00DC386A">
      <w:pPr>
        <w:pStyle w:val="Paragrafoelenco"/>
        <w:keepNext/>
        <w:keepLines/>
        <w:numPr>
          <w:ilvl w:val="0"/>
          <w:numId w:val="11"/>
        </w:numPr>
        <w:spacing w:before="40" w:after="0" w:line="256" w:lineRule="auto"/>
        <w:jc w:val="both"/>
        <w:outlineLvl w:val="1"/>
        <w:rPr>
          <w:rFonts w:ascii="Bookman Old Style" w:hAnsi="Bookman Old Style"/>
          <w:b/>
          <w:bCs/>
          <w:i/>
          <w:iCs/>
        </w:rPr>
      </w:pPr>
      <w:bookmarkStart w:id="0" w:name="_Toc121913290"/>
      <w:r w:rsidRPr="00DE45A5">
        <w:rPr>
          <w:rFonts w:ascii="Bookman Old Style" w:eastAsiaTheme="majorEastAsia" w:hAnsi="Bookman Old Style" w:cstheme="majorBidi"/>
          <w:b/>
          <w:bCs/>
          <w:color w:val="2F5496" w:themeColor="accent1" w:themeShade="BF"/>
        </w:rPr>
        <w:t xml:space="preserve">Proroga termini assunzioni assistenti sociali </w:t>
      </w:r>
      <w:bookmarkEnd w:id="0"/>
      <w:r w:rsidRPr="00DE45A5">
        <w:rPr>
          <w:rFonts w:ascii="Bookman Old Style" w:eastAsiaTheme="majorEastAsia" w:hAnsi="Bookman Old Style" w:cstheme="majorBidi"/>
          <w:b/>
          <w:bCs/>
          <w:color w:val="2F5496" w:themeColor="accent1" w:themeShade="BF"/>
        </w:rPr>
        <w:t xml:space="preserve"> </w:t>
      </w:r>
      <w:r w:rsidRPr="00A74974">
        <w:rPr>
          <w:rFonts w:ascii="Bookman Old Style" w:eastAsiaTheme="majorEastAsia" w:hAnsi="Bookman Old Style" w:cstheme="majorBidi"/>
          <w:b/>
          <w:bCs/>
          <w:i/>
          <w:iCs/>
          <w:color w:val="2F5496" w:themeColor="accent1" w:themeShade="BF"/>
        </w:rPr>
        <w:t>(Art. 1, comma 19)</w:t>
      </w:r>
    </w:p>
    <w:p w14:paraId="75743064" w14:textId="66339019" w:rsidR="006E7D4D" w:rsidRPr="00D4572E" w:rsidRDefault="006E7D4D" w:rsidP="002F499B">
      <w:pPr>
        <w:pStyle w:val="Nessunaspaziatura"/>
        <w:jc w:val="both"/>
        <w:rPr>
          <w:rFonts w:ascii="Bookman Old Style" w:hAnsi="Bookman Old Style"/>
          <w:b/>
          <w:bCs/>
        </w:rPr>
      </w:pPr>
      <w:r w:rsidRPr="002F499B">
        <w:rPr>
          <w:rFonts w:ascii="Bookman Old Style" w:hAnsi="Bookman Old Style"/>
          <w:color w:val="000000"/>
          <w:bdr w:val="none" w:sz="0" w:space="0" w:color="auto" w:frame="1"/>
        </w:rPr>
        <w:t>La norma</w:t>
      </w:r>
      <w:r w:rsidRPr="002F499B">
        <w:rPr>
          <w:rFonts w:ascii="Bookman Old Style" w:hAnsi="Bookman Old Style"/>
        </w:rPr>
        <w:t xml:space="preserve">, </w:t>
      </w:r>
      <w:r w:rsidRPr="002F499B">
        <w:rPr>
          <w:rFonts w:ascii="Bookman Old Style" w:hAnsi="Bookman Old Style"/>
          <w:b/>
          <w:bCs/>
        </w:rPr>
        <w:t>richiesta dall’ANCI</w:t>
      </w:r>
      <w:r w:rsidRPr="002F499B">
        <w:rPr>
          <w:rFonts w:ascii="Bookman Old Style" w:hAnsi="Bookman Old Style"/>
        </w:rPr>
        <w:t xml:space="preserve">, </w:t>
      </w:r>
      <w:r w:rsidRPr="002F499B">
        <w:rPr>
          <w:rFonts w:ascii="Bookman Old Style" w:hAnsi="Bookman Old Style"/>
          <w:b/>
          <w:bCs/>
        </w:rPr>
        <w:t xml:space="preserve">estende </w:t>
      </w:r>
      <w:r w:rsidRPr="002F499B">
        <w:rPr>
          <w:rFonts w:ascii="Bookman Old Style" w:hAnsi="Bookman Old Style"/>
          <w:b/>
          <w:bCs/>
          <w:u w:val="single"/>
        </w:rPr>
        <w:t xml:space="preserve"> al 31 dicembre 2023</w:t>
      </w:r>
      <w:r w:rsidRPr="002F499B">
        <w:rPr>
          <w:rFonts w:ascii="Bookman Old Style" w:hAnsi="Bookman Old Style"/>
        </w:rPr>
        <w:t xml:space="preserve"> il termine per la maturazione del requisito temporale dei 36 mesi di servizio </w:t>
      </w:r>
      <w:r w:rsidRPr="00D4572E">
        <w:rPr>
          <w:rFonts w:ascii="Bookman Old Style" w:hAnsi="Bookman Old Style"/>
          <w:b/>
          <w:bCs/>
        </w:rPr>
        <w:t xml:space="preserve">per la stabilizzazione degli assistenti sociali. </w:t>
      </w:r>
    </w:p>
    <w:p w14:paraId="55DE1E36" w14:textId="70996623" w:rsidR="008D066C" w:rsidRDefault="008D066C" w:rsidP="008D066C">
      <w:pPr>
        <w:spacing w:after="0" w:line="240" w:lineRule="auto"/>
        <w:jc w:val="both"/>
        <w:rPr>
          <w:rFonts w:ascii="Bookman Old Style" w:hAnsi="Bookman Old Style"/>
        </w:rPr>
      </w:pPr>
    </w:p>
    <w:p w14:paraId="47F04DF7" w14:textId="77777777" w:rsidR="000E1CD2" w:rsidRPr="002F499B" w:rsidRDefault="000E1CD2" w:rsidP="008D066C">
      <w:pPr>
        <w:spacing w:after="0" w:line="240" w:lineRule="auto"/>
        <w:jc w:val="both"/>
        <w:rPr>
          <w:rFonts w:ascii="Bookman Old Style" w:hAnsi="Bookman Old Style"/>
        </w:rPr>
      </w:pPr>
    </w:p>
    <w:p w14:paraId="4539DB47" w14:textId="77777777" w:rsidR="008D066C" w:rsidRPr="00A74974" w:rsidRDefault="008D066C" w:rsidP="008D066C">
      <w:pPr>
        <w:keepNext/>
        <w:keepLines/>
        <w:numPr>
          <w:ilvl w:val="0"/>
          <w:numId w:val="8"/>
        </w:numPr>
        <w:spacing w:after="0" w:line="240" w:lineRule="auto"/>
        <w:contextualSpacing/>
        <w:jc w:val="both"/>
        <w:outlineLvl w:val="1"/>
        <w:rPr>
          <w:rFonts w:ascii="Bookman Old Style" w:eastAsiaTheme="majorEastAsia" w:hAnsi="Bookman Old Style" w:cstheme="majorBidi"/>
          <w:b/>
          <w:bCs/>
          <w:i/>
          <w:iCs/>
          <w:color w:val="2F5496" w:themeColor="accent1" w:themeShade="BF"/>
        </w:rPr>
      </w:pPr>
      <w:bookmarkStart w:id="1" w:name="_Toc121837518"/>
      <w:bookmarkStart w:id="2" w:name="_Toc121913297"/>
      <w:r w:rsidRPr="008D066C">
        <w:rPr>
          <w:rFonts w:ascii="Bookman Old Style" w:eastAsiaTheme="majorEastAsia" w:hAnsi="Bookman Old Style" w:cstheme="majorBidi"/>
          <w:b/>
          <w:bCs/>
          <w:color w:val="2F5496" w:themeColor="accent1" w:themeShade="BF"/>
        </w:rPr>
        <w:t xml:space="preserve">Deroga inconferibilità di incarichi a componenti di </w:t>
      </w:r>
      <w:r w:rsidRPr="00436AA8">
        <w:rPr>
          <w:rFonts w:ascii="Bookman Old Style" w:eastAsiaTheme="majorEastAsia" w:hAnsi="Bookman Old Style" w:cstheme="majorBidi"/>
          <w:b/>
          <w:bCs/>
          <w:color w:val="2F5496" w:themeColor="accent1" w:themeShade="BF"/>
        </w:rPr>
        <w:t xml:space="preserve">organo politico di livello </w:t>
      </w:r>
      <w:r w:rsidRPr="00236CA4">
        <w:rPr>
          <w:rFonts w:ascii="Bookman Old Style" w:eastAsiaTheme="majorEastAsia" w:hAnsi="Bookman Old Style" w:cstheme="majorBidi"/>
          <w:b/>
          <w:bCs/>
          <w:color w:val="2F5496" w:themeColor="accent1" w:themeShade="BF"/>
        </w:rPr>
        <w:t>regionale e locale</w:t>
      </w:r>
      <w:bookmarkEnd w:id="1"/>
      <w:bookmarkEnd w:id="2"/>
      <w:r w:rsidRPr="00236CA4">
        <w:rPr>
          <w:rFonts w:ascii="Bookman Old Style" w:eastAsiaTheme="majorEastAsia" w:hAnsi="Bookman Old Style" w:cstheme="majorBidi"/>
          <w:b/>
          <w:bCs/>
          <w:color w:val="2F5496" w:themeColor="accent1" w:themeShade="BF"/>
        </w:rPr>
        <w:t xml:space="preserve"> </w:t>
      </w:r>
      <w:r w:rsidRPr="00A74974">
        <w:rPr>
          <w:rFonts w:ascii="Bookman Old Style" w:eastAsiaTheme="majorEastAsia" w:hAnsi="Bookman Old Style" w:cstheme="majorBidi"/>
          <w:b/>
          <w:bCs/>
          <w:i/>
          <w:iCs/>
          <w:color w:val="2F5496" w:themeColor="accent1" w:themeShade="BF"/>
        </w:rPr>
        <w:t>(Art. 1, comma 20)</w:t>
      </w:r>
    </w:p>
    <w:p w14:paraId="579E0E94" w14:textId="3F4B0946" w:rsidR="008D066C" w:rsidRPr="008D066C" w:rsidRDefault="008D066C" w:rsidP="00872585">
      <w:pPr>
        <w:shd w:val="clear" w:color="auto" w:fill="FFFFFF"/>
        <w:jc w:val="both"/>
        <w:rPr>
          <w:rFonts w:ascii="Bookman Old Style" w:hAnsi="Bookman Old Style"/>
        </w:rPr>
      </w:pPr>
      <w:r w:rsidRPr="00872585">
        <w:rPr>
          <w:rFonts w:ascii="Bookman Old Style" w:hAnsi="Bookman Old Style"/>
          <w:bdr w:val="none" w:sz="0" w:space="0" w:color="auto" w:frame="1"/>
        </w:rPr>
        <w:t xml:space="preserve">La norma, </w:t>
      </w:r>
      <w:r w:rsidRPr="00872585">
        <w:rPr>
          <w:rFonts w:ascii="Bookman Old Style" w:hAnsi="Bookman Old Style"/>
          <w:b/>
          <w:bCs/>
          <w:bdr w:val="none" w:sz="0" w:space="0" w:color="auto" w:frame="1"/>
        </w:rPr>
        <w:t xml:space="preserve">richiesta dall’ANCI, </w:t>
      </w:r>
      <w:r w:rsidRPr="00872585">
        <w:rPr>
          <w:rFonts w:ascii="Bookman Old Style" w:hAnsi="Bookman Old Style"/>
          <w:b/>
          <w:bCs/>
          <w:u w:val="single"/>
          <w:bdr w:val="none" w:sz="0" w:space="0" w:color="auto" w:frame="1"/>
        </w:rPr>
        <w:t>proroga al 31 dicembre 2023</w:t>
      </w:r>
      <w:r w:rsidRPr="00872585">
        <w:rPr>
          <w:rFonts w:ascii="Bookman Old Style" w:hAnsi="Bookman Old Style"/>
          <w:b/>
          <w:bCs/>
          <w:bdr w:val="none" w:sz="0" w:space="0" w:color="auto" w:frame="1"/>
        </w:rPr>
        <w:t xml:space="preserve"> la possibilità di conferire gli incarichi di cui all’art. 7, comma 1, del decreto legislativo 39/2013</w:t>
      </w:r>
      <w:r w:rsidR="00705183" w:rsidRPr="00872585">
        <w:rPr>
          <w:rFonts w:ascii="Bookman Old Style" w:hAnsi="Bookman Old Style"/>
          <w:b/>
          <w:bCs/>
          <w:bdr w:val="none" w:sz="0" w:space="0" w:color="auto" w:frame="1"/>
        </w:rPr>
        <w:t xml:space="preserve"> </w:t>
      </w:r>
      <w:r w:rsidR="00705183" w:rsidRPr="00872585">
        <w:rPr>
          <w:rFonts w:ascii="Bookman Old Style" w:hAnsi="Bookman Old Style"/>
          <w:bdr w:val="none" w:sz="0" w:space="0" w:color="auto" w:frame="1"/>
        </w:rPr>
        <w:t>(</w:t>
      </w:r>
      <w:r w:rsidR="00872585" w:rsidRPr="00872585">
        <w:rPr>
          <w:rFonts w:ascii="Bookman Old Style" w:eastAsia="Times New Roman" w:hAnsi="Bookman Old Style" w:cs="Times New Roman"/>
          <w:lang w:eastAsia="it-IT"/>
        </w:rPr>
        <w:t>incarichi amministrativi di vertice della regione;  incarichi dirigenziali nell'amministrazione regionale;  incarichi di amministratore di ente pubblico di livello regionale;  incarichi di amministratore di ente di diritto privato in controllo pubblico di livello regionale</w:t>
      </w:r>
      <w:r w:rsidR="00705183" w:rsidRPr="00872585">
        <w:rPr>
          <w:rFonts w:ascii="Bookman Old Style" w:hAnsi="Bookman Old Style"/>
          <w:bdr w:val="none" w:sz="0" w:space="0" w:color="auto" w:frame="1"/>
        </w:rPr>
        <w:t>)</w:t>
      </w:r>
      <w:r w:rsidRPr="00872585">
        <w:rPr>
          <w:rFonts w:ascii="Bookman Old Style" w:hAnsi="Bookman Old Style"/>
          <w:b/>
          <w:bCs/>
          <w:bdr w:val="none" w:sz="0" w:space="0" w:color="auto" w:frame="1"/>
        </w:rPr>
        <w:t xml:space="preserve"> per i componenti degli organi elettivi dei Comuni con popolazione superiore ai 15.000 abitanti</w:t>
      </w:r>
      <w:r w:rsidRPr="008D066C">
        <w:rPr>
          <w:rFonts w:ascii="Bookman Old Style" w:hAnsi="Bookman Old Style"/>
          <w:color w:val="000000"/>
          <w:bdr w:val="none" w:sz="0" w:space="0" w:color="auto" w:frame="1"/>
        </w:rPr>
        <w:t xml:space="preserve">, in deroga al periodo di raffreddamento dei due anni successivi alla cessazione dell’incarico. </w:t>
      </w:r>
    </w:p>
    <w:p w14:paraId="65A23129" w14:textId="49B5F30D" w:rsidR="008D066C" w:rsidRDefault="008D066C" w:rsidP="008D066C">
      <w:pPr>
        <w:autoSpaceDE w:val="0"/>
        <w:autoSpaceDN w:val="0"/>
        <w:spacing w:after="0" w:line="240" w:lineRule="auto"/>
        <w:jc w:val="both"/>
        <w:rPr>
          <w:rFonts w:ascii="Bookman Old Style" w:hAnsi="Bookman Old Style"/>
        </w:rPr>
      </w:pPr>
    </w:p>
    <w:p w14:paraId="643A0626" w14:textId="77777777" w:rsidR="008216C6" w:rsidRPr="008D066C" w:rsidRDefault="008216C6" w:rsidP="008D066C">
      <w:pPr>
        <w:autoSpaceDE w:val="0"/>
        <w:autoSpaceDN w:val="0"/>
        <w:spacing w:after="0" w:line="240" w:lineRule="auto"/>
        <w:jc w:val="both"/>
        <w:rPr>
          <w:rFonts w:ascii="Bookman Old Style" w:hAnsi="Bookman Old Style"/>
        </w:rPr>
      </w:pPr>
    </w:p>
    <w:p w14:paraId="11FD4B53" w14:textId="77777777" w:rsidR="00CB537A" w:rsidRPr="00A74974" w:rsidRDefault="00CB537A" w:rsidP="00CB537A">
      <w:pPr>
        <w:pStyle w:val="Paragrafoelenco"/>
        <w:numPr>
          <w:ilvl w:val="0"/>
          <w:numId w:val="5"/>
        </w:numPr>
        <w:spacing w:after="0" w:line="240" w:lineRule="auto"/>
        <w:jc w:val="both"/>
        <w:rPr>
          <w:rFonts w:ascii="Bookman Old Style" w:eastAsiaTheme="majorEastAsia" w:hAnsi="Bookman Old Style" w:cstheme="majorBidi"/>
          <w:b/>
          <w:bCs/>
          <w:i/>
          <w:iCs/>
          <w:color w:val="2F5496" w:themeColor="accent1" w:themeShade="BF"/>
        </w:rPr>
      </w:pPr>
      <w:r w:rsidRPr="00C55198">
        <w:rPr>
          <w:rFonts w:ascii="Bookman Old Style" w:eastAsiaTheme="majorEastAsia" w:hAnsi="Bookman Old Style" w:cstheme="majorBidi"/>
          <w:b/>
          <w:bCs/>
          <w:color w:val="2F5496" w:themeColor="accent1" w:themeShade="BF"/>
        </w:rPr>
        <w:lastRenderedPageBreak/>
        <w:t xml:space="preserve">Procedure di reclutamento dei segretari comunali e provinciali </w:t>
      </w:r>
      <w:r w:rsidRPr="00A74974">
        <w:rPr>
          <w:rFonts w:ascii="Bookman Old Style" w:eastAsiaTheme="majorEastAsia" w:hAnsi="Bookman Old Style" w:cstheme="majorBidi"/>
          <w:b/>
          <w:bCs/>
          <w:i/>
          <w:iCs/>
          <w:color w:val="2F5496" w:themeColor="accent1" w:themeShade="BF"/>
        </w:rPr>
        <w:t>(Art. 1, comma 20 bis)</w:t>
      </w:r>
    </w:p>
    <w:p w14:paraId="180A6463" w14:textId="3B289644" w:rsidR="000204AD" w:rsidRPr="005E6739" w:rsidRDefault="00C40AA4" w:rsidP="00084916">
      <w:pPr>
        <w:autoSpaceDE w:val="0"/>
        <w:autoSpaceDN w:val="0"/>
        <w:adjustRightInd w:val="0"/>
        <w:spacing w:after="0" w:line="240" w:lineRule="auto"/>
        <w:jc w:val="both"/>
        <w:rPr>
          <w:rFonts w:ascii="Bookman Old Style" w:hAnsi="Bookman Old Style" w:cs="TimesNewRomanPSMT"/>
        </w:rPr>
      </w:pPr>
      <w:r w:rsidRPr="00084916">
        <w:rPr>
          <w:rFonts w:ascii="Bookman Old Style" w:hAnsi="Bookman Old Style"/>
          <w:b/>
          <w:bCs/>
        </w:rPr>
        <w:t xml:space="preserve">La norma, </w:t>
      </w:r>
      <w:bookmarkStart w:id="3" w:name="_Hlk127529146"/>
      <w:r w:rsidRPr="00084916">
        <w:rPr>
          <w:rFonts w:ascii="Bookman Old Style" w:hAnsi="Bookman Old Style"/>
          <w:b/>
          <w:bCs/>
        </w:rPr>
        <w:t xml:space="preserve">approvata in Senato </w:t>
      </w:r>
      <w:bookmarkEnd w:id="3"/>
      <w:r w:rsidRPr="00084916">
        <w:rPr>
          <w:rFonts w:ascii="Bookman Old Style" w:hAnsi="Bookman Old Style"/>
          <w:b/>
          <w:bCs/>
        </w:rPr>
        <w:t>e richiesta dall’ANCI</w:t>
      </w:r>
      <w:r w:rsidRPr="00084916">
        <w:rPr>
          <w:rFonts w:ascii="Bookman Old Style" w:hAnsi="Bookman Old Style"/>
        </w:rPr>
        <w:t xml:space="preserve"> </w:t>
      </w:r>
      <w:r w:rsidRPr="005E6739">
        <w:rPr>
          <w:rFonts w:ascii="Bookman Old Style" w:hAnsi="Bookman Old Style"/>
        </w:rPr>
        <w:t xml:space="preserve">mira ad agevolare i piccoli Comuni </w:t>
      </w:r>
      <w:r w:rsidR="00C41D38" w:rsidRPr="005E6739">
        <w:rPr>
          <w:rFonts w:ascii="Bookman Old Style" w:hAnsi="Bookman Old Style"/>
        </w:rPr>
        <w:t>e favorire l’attuazione del PNRR</w:t>
      </w:r>
      <w:r w:rsidR="00E51942" w:rsidRPr="005E6739">
        <w:rPr>
          <w:rFonts w:ascii="Bookman Old Style" w:hAnsi="Bookman Old Style"/>
        </w:rPr>
        <w:t xml:space="preserve"> </w:t>
      </w:r>
      <w:r w:rsidR="00BE6194" w:rsidRPr="005E6739">
        <w:rPr>
          <w:rFonts w:ascii="Bookman Old Style" w:hAnsi="Bookman Old Style"/>
        </w:rPr>
        <w:t xml:space="preserve">stabilendo </w:t>
      </w:r>
      <w:r w:rsidR="00B609F6" w:rsidRPr="005E6739">
        <w:rPr>
          <w:rFonts w:ascii="Bookman Old Style" w:hAnsi="Bookman Old Style"/>
        </w:rPr>
        <w:t>che</w:t>
      </w:r>
      <w:r w:rsidR="00BE6194" w:rsidRPr="005E6739">
        <w:rPr>
          <w:rFonts w:ascii="Bookman Old Style" w:hAnsi="Bookman Old Style"/>
        </w:rPr>
        <w:t>,</w:t>
      </w:r>
      <w:r w:rsidR="00B609F6" w:rsidRPr="005E6739">
        <w:rPr>
          <w:rFonts w:ascii="Bookman Old Style" w:hAnsi="Bookman Old Style"/>
        </w:rPr>
        <w:t xml:space="preserve"> </w:t>
      </w:r>
      <w:r w:rsidRPr="005E6739">
        <w:rPr>
          <w:rFonts w:ascii="Bookman Old Style" w:hAnsi="Bookman Old Style"/>
        </w:rPr>
        <w:t>i segretari iscritti nella fascia iniziale di accesso in carriera possano assumere la titolarità anche in sedi vacanti, singole o convenzionate, corrispondenti alla fascia professionale immediatamente superiore</w:t>
      </w:r>
      <w:r w:rsidR="00084916" w:rsidRPr="005E6739">
        <w:rPr>
          <w:rFonts w:ascii="Bookman Old Style" w:hAnsi="Bookman Old Style"/>
        </w:rPr>
        <w:t>,</w:t>
      </w:r>
      <w:r w:rsidR="00E93F1A" w:rsidRPr="005E6739">
        <w:rPr>
          <w:rFonts w:ascii="Bookman Old Style" w:hAnsi="Bookman Old Style"/>
        </w:rPr>
        <w:t xml:space="preserve"> </w:t>
      </w:r>
      <w:r w:rsidR="00E93F1A" w:rsidRPr="005E6739">
        <w:rPr>
          <w:rFonts w:ascii="Bookman Old Style" w:hAnsi="Bookman Old Style"/>
          <w:b/>
          <w:bCs/>
        </w:rPr>
        <w:t>p</w:t>
      </w:r>
      <w:r w:rsidR="00E93F1A" w:rsidRPr="005E6739">
        <w:rPr>
          <w:rFonts w:ascii="Bookman Old Style" w:hAnsi="Bookman Old Style" w:cs="TimesNewRomanPS-BoldMT"/>
          <w:b/>
          <w:bCs/>
        </w:rPr>
        <w:t xml:space="preserve">er </w:t>
      </w:r>
      <w:r w:rsidR="000204AD" w:rsidRPr="005E6739">
        <w:rPr>
          <w:rFonts w:ascii="Bookman Old Style" w:hAnsi="Bookman Old Style" w:cs="TimesNewRomanPSMT"/>
          <w:b/>
          <w:bCs/>
        </w:rPr>
        <w:t xml:space="preserve"> un periodo massimo di dodici mesi, prorogabile fino a ventiquattro</w:t>
      </w:r>
      <w:r w:rsidR="000C0BF0" w:rsidRPr="005E6739">
        <w:rPr>
          <w:rFonts w:ascii="Bookman Old Style" w:hAnsi="Bookman Old Style" w:cs="TimesNewRomanPSMT"/>
          <w:b/>
          <w:bCs/>
        </w:rPr>
        <w:t xml:space="preserve"> </w:t>
      </w:r>
      <w:r w:rsidR="005E6739" w:rsidRPr="005E6739">
        <w:rPr>
          <w:rFonts w:ascii="Bookman Old Style" w:hAnsi="Bookman Old Style" w:cs="TimesNewRomanPSMT"/>
        </w:rPr>
        <w:t>(</w:t>
      </w:r>
      <w:r w:rsidR="00967C54">
        <w:rPr>
          <w:rFonts w:ascii="Bookman Old Style" w:hAnsi="Bookman Old Style" w:cs="TimesNewRomanPSMT"/>
        </w:rPr>
        <w:t xml:space="preserve">raddoppiando </w:t>
      </w:r>
      <w:r w:rsidR="000C0BF0" w:rsidRPr="005E6739">
        <w:rPr>
          <w:rFonts w:ascii="Bookman Old Style" w:hAnsi="Bookman Old Style" w:cs="TimesNewRomanPSMT"/>
        </w:rPr>
        <w:t xml:space="preserve"> quindi i termini </w:t>
      </w:r>
      <w:r w:rsidR="001236B9">
        <w:rPr>
          <w:rFonts w:ascii="Bookman Old Style" w:hAnsi="Bookman Old Style" w:cs="TimesNewRomanPSMT"/>
        </w:rPr>
        <w:t>della</w:t>
      </w:r>
      <w:r w:rsidR="00084916" w:rsidRPr="005E6739">
        <w:rPr>
          <w:rFonts w:ascii="Bookman Old Style" w:hAnsi="Bookman Old Style" w:cs="TimesNewRomanPSMT"/>
        </w:rPr>
        <w:t xml:space="preserve"> </w:t>
      </w:r>
      <w:r w:rsidR="00BE6194" w:rsidRPr="005E6739">
        <w:rPr>
          <w:rFonts w:ascii="Bookman Old Style" w:hAnsi="Bookman Old Style" w:cs="TimesNewRomanPSMT"/>
        </w:rPr>
        <w:t xml:space="preserve">norma  che </w:t>
      </w:r>
      <w:r w:rsidR="00967C54">
        <w:rPr>
          <w:rFonts w:ascii="Bookman Old Style" w:hAnsi="Bookman Old Style" w:cs="TimesNewRomanPSMT"/>
        </w:rPr>
        <w:t xml:space="preserve">prevedeva che </w:t>
      </w:r>
      <w:r w:rsidR="00BE6194" w:rsidRPr="005E6739">
        <w:rPr>
          <w:rFonts w:ascii="Bookman Old Style" w:hAnsi="Bookman Old Style" w:cs="TimesNewRomanPSMT"/>
        </w:rPr>
        <w:t>la</w:t>
      </w:r>
      <w:r w:rsidR="00084916" w:rsidRPr="005E6739">
        <w:rPr>
          <w:rFonts w:ascii="Bookman Old Style" w:hAnsi="Bookman Old Style" w:cs="TimesNewRomanPSMT"/>
        </w:rPr>
        <w:t xml:space="preserve"> </w:t>
      </w:r>
      <w:r w:rsidR="00BE6194" w:rsidRPr="005E6739">
        <w:rPr>
          <w:rFonts w:ascii="Bookman Old Style" w:hAnsi="Bookman Old Style" w:cs="TimesNewRomanPSMT"/>
        </w:rPr>
        <w:t>titolarità in oggetto po</w:t>
      </w:r>
      <w:r w:rsidR="00967C54">
        <w:rPr>
          <w:rFonts w:ascii="Bookman Old Style" w:hAnsi="Bookman Old Style" w:cs="TimesNewRomanPSMT"/>
        </w:rPr>
        <w:t>tesse</w:t>
      </w:r>
      <w:r w:rsidR="00BE6194" w:rsidRPr="005E6739">
        <w:rPr>
          <w:rFonts w:ascii="Bookman Old Style" w:hAnsi="Bookman Old Style" w:cs="TimesNewRomanPSMT"/>
        </w:rPr>
        <w:t xml:space="preserve"> essere attribuita per un periodo massimo di sei mesi,</w:t>
      </w:r>
      <w:r w:rsidR="00084916" w:rsidRPr="005E6739">
        <w:rPr>
          <w:rFonts w:ascii="Bookman Old Style" w:hAnsi="Bookman Old Style" w:cs="TimesNewRomanPSMT"/>
        </w:rPr>
        <w:t xml:space="preserve"> </w:t>
      </w:r>
      <w:r w:rsidR="00BE6194" w:rsidRPr="005E6739">
        <w:rPr>
          <w:rFonts w:ascii="Bookman Old Style" w:hAnsi="Bookman Old Style" w:cs="TimesNewRomanPSMT"/>
        </w:rPr>
        <w:t>prorogabili fino a dodici</w:t>
      </w:r>
      <w:r w:rsidR="00084916" w:rsidRPr="005E6739">
        <w:rPr>
          <w:rFonts w:ascii="Bookman Old Style" w:hAnsi="Bookman Old Style" w:cs="TimesNewRomanPSMT"/>
        </w:rPr>
        <w:t>)</w:t>
      </w:r>
      <w:r w:rsidR="000204AD" w:rsidRPr="005E6739">
        <w:rPr>
          <w:rFonts w:ascii="Bookman Old Style" w:hAnsi="Bookman Old Style" w:cs="TimesNewRomanPSMT"/>
        </w:rPr>
        <w:t>.</w:t>
      </w:r>
    </w:p>
    <w:p w14:paraId="6C9F1887" w14:textId="2E7CE5AF" w:rsidR="00AD3844" w:rsidRDefault="00AD3844" w:rsidP="008A3119">
      <w:pPr>
        <w:pStyle w:val="Nessunaspaziatura"/>
        <w:jc w:val="both"/>
        <w:rPr>
          <w:rFonts w:ascii="Bookman Old Style" w:hAnsi="Bookman Old Style" w:cs="TimesNewRomanPSMT"/>
          <w:b/>
          <w:bCs/>
        </w:rPr>
      </w:pPr>
    </w:p>
    <w:p w14:paraId="4DCA7AAB" w14:textId="77777777" w:rsidR="0094479E" w:rsidRPr="00A74974" w:rsidRDefault="0094479E" w:rsidP="00FB060C">
      <w:pPr>
        <w:pStyle w:val="Paragrafoelenco"/>
        <w:numPr>
          <w:ilvl w:val="0"/>
          <w:numId w:val="5"/>
        </w:numPr>
        <w:spacing w:after="0" w:line="240" w:lineRule="auto"/>
        <w:jc w:val="both"/>
        <w:rPr>
          <w:rFonts w:ascii="Bookman Old Style" w:hAnsi="Bookman Old Style"/>
          <w:b/>
          <w:bCs/>
          <w:i/>
          <w:iCs/>
        </w:rPr>
      </w:pPr>
      <w:r w:rsidRPr="00FB060C">
        <w:rPr>
          <w:rFonts w:ascii="Bookman Old Style" w:eastAsiaTheme="majorEastAsia" w:hAnsi="Bookman Old Style" w:cstheme="majorBidi"/>
          <w:b/>
          <w:bCs/>
          <w:color w:val="2F5496" w:themeColor="accent1" w:themeShade="BF"/>
        </w:rPr>
        <w:t xml:space="preserve">Indennità di funzione </w:t>
      </w:r>
      <w:r w:rsidRPr="00A74974">
        <w:rPr>
          <w:rFonts w:ascii="Bookman Old Style" w:eastAsiaTheme="majorEastAsia" w:hAnsi="Bookman Old Style" w:cstheme="majorBidi"/>
          <w:b/>
          <w:bCs/>
          <w:i/>
          <w:iCs/>
          <w:color w:val="2F5496" w:themeColor="accent1" w:themeShade="BF"/>
        </w:rPr>
        <w:t>(Art. 1, comma 20 ter)</w:t>
      </w:r>
    </w:p>
    <w:p w14:paraId="0872D1D8" w14:textId="5957483C" w:rsidR="00725A83" w:rsidRPr="00FB060C" w:rsidRDefault="00725A83" w:rsidP="00FB060C">
      <w:pPr>
        <w:pStyle w:val="Nessunaspaziatura"/>
        <w:jc w:val="both"/>
        <w:rPr>
          <w:rFonts w:ascii="Bookman Old Style" w:hAnsi="Bookman Old Style"/>
        </w:rPr>
      </w:pPr>
      <w:r w:rsidRPr="00FB060C">
        <w:rPr>
          <w:rFonts w:ascii="Bookman Old Style" w:hAnsi="Bookman Old Style"/>
          <w:b/>
          <w:bCs/>
        </w:rPr>
        <w:t>La norma, approvata in Senato</w:t>
      </w:r>
      <w:r w:rsidRPr="00FB060C">
        <w:rPr>
          <w:rFonts w:ascii="Bookman Old Style" w:hAnsi="Bookman Old Style"/>
        </w:rPr>
        <w:t xml:space="preserve">, </w:t>
      </w:r>
      <w:r w:rsidR="00124DD1">
        <w:rPr>
          <w:rFonts w:ascii="Bookman Old Style" w:hAnsi="Bookman Old Style"/>
        </w:rPr>
        <w:t>preve</w:t>
      </w:r>
      <w:r w:rsidR="00725978">
        <w:rPr>
          <w:rFonts w:ascii="Bookman Old Style" w:hAnsi="Bookman Old Style"/>
        </w:rPr>
        <w:t xml:space="preserve">de che </w:t>
      </w:r>
      <w:r w:rsidRPr="00086041">
        <w:rPr>
          <w:rFonts w:ascii="Bookman Old Style" w:hAnsi="Bookman Old Style"/>
          <w:b/>
          <w:bCs/>
          <w:i/>
          <w:iCs/>
          <w:u w:val="single"/>
        </w:rPr>
        <w:t>fino a dicembre 2023</w:t>
      </w:r>
      <w:r w:rsidRPr="00FB060C">
        <w:rPr>
          <w:rFonts w:ascii="Bookman Old Style" w:hAnsi="Bookman Old Style"/>
        </w:rPr>
        <w:t xml:space="preserve">, </w:t>
      </w:r>
      <w:r w:rsidR="00725978">
        <w:rPr>
          <w:rFonts w:ascii="Bookman Old Style" w:hAnsi="Bookman Old Style"/>
        </w:rPr>
        <w:t>siano riconosciute</w:t>
      </w:r>
      <w:r w:rsidRPr="00FB060C">
        <w:rPr>
          <w:rFonts w:ascii="Bookman Old Style" w:hAnsi="Bookman Old Style"/>
        </w:rPr>
        <w:t xml:space="preserve"> le risorse statali per la corresponsione dell'incremento delle indennità di funzione anche nel caso in cui i beneficiari abbiano adottato e approvato specifiche deliberazioni di rinuncia, parziale o totale, della misura massima dell'indennità di funzione prevista dalla normativa al tempo vigente, a condizione che tali risorse siano state utilizzate per tali finalità.</w:t>
      </w:r>
      <w:r w:rsidR="00967C54">
        <w:rPr>
          <w:rFonts w:ascii="Bookman Old Style" w:hAnsi="Bookman Old Style"/>
        </w:rPr>
        <w:t xml:space="preserve"> </w:t>
      </w:r>
    </w:p>
    <w:p w14:paraId="0F4BB6CD" w14:textId="77777777" w:rsidR="00726356" w:rsidRPr="00FB060C" w:rsidRDefault="00726356" w:rsidP="00FB060C">
      <w:pPr>
        <w:spacing w:after="0" w:line="240" w:lineRule="auto"/>
        <w:jc w:val="both"/>
        <w:rPr>
          <w:rFonts w:ascii="Bookman Old Style" w:hAnsi="Bookman Old Style"/>
        </w:rPr>
      </w:pPr>
    </w:p>
    <w:p w14:paraId="343C7F29" w14:textId="77777777" w:rsidR="0083463B" w:rsidRPr="00A74974" w:rsidRDefault="0083463B" w:rsidP="00FB060C">
      <w:pPr>
        <w:pStyle w:val="Paragrafoelenco"/>
        <w:numPr>
          <w:ilvl w:val="0"/>
          <w:numId w:val="5"/>
        </w:numPr>
        <w:spacing w:after="0" w:line="240" w:lineRule="auto"/>
        <w:jc w:val="both"/>
        <w:rPr>
          <w:rFonts w:ascii="Bookman Old Style" w:eastAsiaTheme="majorEastAsia" w:hAnsi="Bookman Old Style" w:cstheme="majorBidi"/>
          <w:b/>
          <w:bCs/>
          <w:i/>
          <w:iCs/>
          <w:color w:val="2F5496" w:themeColor="accent1" w:themeShade="BF"/>
        </w:rPr>
      </w:pPr>
      <w:r w:rsidRPr="00FB060C">
        <w:rPr>
          <w:rFonts w:ascii="Bookman Old Style" w:eastAsiaTheme="majorEastAsia" w:hAnsi="Bookman Old Style" w:cstheme="majorBidi"/>
          <w:b/>
          <w:bCs/>
          <w:color w:val="2F5496" w:themeColor="accent1" w:themeShade="BF"/>
        </w:rPr>
        <w:t xml:space="preserve">Proroghe dei termini in materia di assunzioni programmate dagli enti in dissesto finanziario </w:t>
      </w:r>
      <w:r w:rsidRPr="00A74974">
        <w:rPr>
          <w:rFonts w:ascii="Bookman Old Style" w:eastAsiaTheme="majorEastAsia" w:hAnsi="Bookman Old Style" w:cstheme="majorBidi"/>
          <w:b/>
          <w:bCs/>
          <w:i/>
          <w:iCs/>
          <w:color w:val="2F5496" w:themeColor="accent1" w:themeShade="BF"/>
        </w:rPr>
        <w:t>(Art. 1, comma 22 bis)</w:t>
      </w:r>
    </w:p>
    <w:p w14:paraId="507B83E3" w14:textId="0470D51C" w:rsidR="00532262" w:rsidRPr="00FB060C" w:rsidRDefault="00532262" w:rsidP="00FB060C">
      <w:pPr>
        <w:pStyle w:val="Nessunaspaziatura"/>
        <w:jc w:val="both"/>
        <w:rPr>
          <w:rFonts w:ascii="Bookman Old Style" w:hAnsi="Bookman Old Style"/>
        </w:rPr>
      </w:pPr>
      <w:r w:rsidRPr="00FB060C">
        <w:rPr>
          <w:rFonts w:ascii="Bookman Old Style" w:hAnsi="Bookman Old Style"/>
          <w:b/>
          <w:bCs/>
        </w:rPr>
        <w:t xml:space="preserve">La norma richiesta dall’ANCI e </w:t>
      </w:r>
      <w:bookmarkStart w:id="4" w:name="_Hlk127874169"/>
      <w:r w:rsidRPr="00FB060C">
        <w:rPr>
          <w:rFonts w:ascii="Bookman Old Style" w:hAnsi="Bookman Old Style"/>
          <w:b/>
          <w:bCs/>
        </w:rPr>
        <w:t>approvata in Senato</w:t>
      </w:r>
      <w:bookmarkEnd w:id="4"/>
      <w:r w:rsidRPr="00FB060C">
        <w:rPr>
          <w:rFonts w:ascii="Bookman Old Style" w:hAnsi="Bookman Old Style"/>
          <w:b/>
          <w:bCs/>
        </w:rPr>
        <w:t>,</w:t>
      </w:r>
      <w:r w:rsidRPr="00FB060C">
        <w:rPr>
          <w:rFonts w:ascii="Bookman Old Style" w:hAnsi="Bookman Old Style"/>
        </w:rPr>
        <w:t xml:space="preserve"> prevede che le assunzioni di personale a tempo indeterminato e a tempo determinato programmate dagli enti in dissesto finanziario, in riequilibrio finanziario pluriennale o strutturalmente deficitari, sottoposte all'approvazione della Commissione per la Stabilità Finanziaria degli Enti Locali di cui all'articolo 155 del TUEL, e già autorizzate per l'anno 2022, fra le quali sono ricomprese anche quelle necessarie a garantire l'attuazione dei progetti del Piano Nazionale di Ripresa e Resilienza, possono essere perfezionate fino al 30 giugno 2023, anche in condizione di esercizio provvisorio.</w:t>
      </w:r>
    </w:p>
    <w:p w14:paraId="26487211" w14:textId="77777777" w:rsidR="00C31FAA" w:rsidRDefault="00C31FAA" w:rsidP="00C31FAA">
      <w:pPr>
        <w:autoSpaceDE w:val="0"/>
        <w:autoSpaceDN w:val="0"/>
        <w:spacing w:after="0" w:line="240" w:lineRule="auto"/>
        <w:jc w:val="both"/>
        <w:rPr>
          <w:rFonts w:ascii="Bookman Old Style" w:hAnsi="Bookman Old Style"/>
        </w:rPr>
      </w:pPr>
    </w:p>
    <w:p w14:paraId="444CC932" w14:textId="77E19818" w:rsidR="00C31FAA" w:rsidRPr="00A74974" w:rsidRDefault="00C31FAA" w:rsidP="00C31FAA">
      <w:pPr>
        <w:pStyle w:val="Paragrafoelenco"/>
        <w:numPr>
          <w:ilvl w:val="0"/>
          <w:numId w:val="5"/>
        </w:numPr>
        <w:spacing w:after="0" w:line="240" w:lineRule="auto"/>
        <w:jc w:val="both"/>
        <w:rPr>
          <w:rFonts w:ascii="Bookman Old Style" w:eastAsiaTheme="majorEastAsia" w:hAnsi="Bookman Old Style" w:cstheme="majorBidi"/>
          <w:b/>
          <w:bCs/>
          <w:i/>
          <w:iCs/>
          <w:color w:val="2F5496" w:themeColor="accent1" w:themeShade="BF"/>
        </w:rPr>
      </w:pPr>
      <w:r w:rsidRPr="00FD1E20">
        <w:rPr>
          <w:rFonts w:ascii="Bookman Old Style" w:eastAsiaTheme="majorEastAsia" w:hAnsi="Bookman Old Style" w:cstheme="majorBidi"/>
          <w:b/>
          <w:bCs/>
          <w:color w:val="2F5496" w:themeColor="accent1" w:themeShade="BF"/>
        </w:rPr>
        <w:t xml:space="preserve">Disapplicazione sanzioni per tardiva trasmissione certificazioni </w:t>
      </w:r>
      <w:r w:rsidR="005F4164">
        <w:rPr>
          <w:rFonts w:ascii="Bookman Old Style" w:eastAsiaTheme="majorEastAsia" w:hAnsi="Bookman Old Style" w:cstheme="majorBidi"/>
          <w:b/>
          <w:bCs/>
          <w:color w:val="2F5496" w:themeColor="accent1" w:themeShade="BF"/>
        </w:rPr>
        <w:t xml:space="preserve">Covid </w:t>
      </w:r>
      <w:r w:rsidRPr="00A74974">
        <w:rPr>
          <w:rFonts w:ascii="Bookman Old Style" w:eastAsiaTheme="majorEastAsia" w:hAnsi="Bookman Old Style" w:cstheme="majorBidi"/>
          <w:b/>
          <w:bCs/>
          <w:i/>
          <w:iCs/>
          <w:color w:val="2F5496" w:themeColor="accent1" w:themeShade="BF"/>
        </w:rPr>
        <w:t>(Art. 1, comma 22 ter)</w:t>
      </w:r>
    </w:p>
    <w:p w14:paraId="50CF66E5" w14:textId="1CFB091F" w:rsidR="00C31FAA" w:rsidRDefault="00C31FAA" w:rsidP="00C31FAA">
      <w:pPr>
        <w:spacing w:after="0" w:line="240" w:lineRule="auto"/>
        <w:jc w:val="both"/>
        <w:rPr>
          <w:rFonts w:ascii="Bookman Old Style" w:hAnsi="Bookman Old Style"/>
        </w:rPr>
      </w:pPr>
      <w:bookmarkStart w:id="5" w:name="_Hlk127180184"/>
      <w:r w:rsidRPr="00FD1E20">
        <w:rPr>
          <w:rFonts w:ascii="Bookman Old Style" w:hAnsi="Bookman Old Style"/>
        </w:rPr>
        <w:t>L</w:t>
      </w:r>
      <w:r w:rsidR="009E424C">
        <w:rPr>
          <w:rFonts w:ascii="Bookman Old Style" w:hAnsi="Bookman Old Style"/>
        </w:rPr>
        <w:t>a norma</w:t>
      </w:r>
      <w:r w:rsidR="00AD245F">
        <w:rPr>
          <w:rFonts w:ascii="Bookman Old Style" w:hAnsi="Bookman Old Style"/>
        </w:rPr>
        <w:t xml:space="preserve"> </w:t>
      </w:r>
      <w:r w:rsidR="00AD245F" w:rsidRPr="005A3A33">
        <w:rPr>
          <w:rFonts w:ascii="Bookman Old Style" w:hAnsi="Bookman Old Style"/>
          <w:b/>
          <w:bCs/>
        </w:rPr>
        <w:t xml:space="preserve">approvata in Senato </w:t>
      </w:r>
      <w:bookmarkEnd w:id="5"/>
      <w:r w:rsidRPr="00FD1E20">
        <w:rPr>
          <w:rFonts w:ascii="Bookman Old Style" w:hAnsi="Bookman Old Style"/>
        </w:rPr>
        <w:t xml:space="preserve">e </w:t>
      </w:r>
      <w:r w:rsidRPr="00FD1E20">
        <w:rPr>
          <w:rFonts w:ascii="Bookman Old Style" w:hAnsi="Bookman Old Style"/>
          <w:b/>
          <w:bCs/>
        </w:rPr>
        <w:t>richiest</w:t>
      </w:r>
      <w:r w:rsidR="00AD245F">
        <w:rPr>
          <w:rFonts w:ascii="Bookman Old Style" w:hAnsi="Bookman Old Style"/>
          <w:b/>
          <w:bCs/>
        </w:rPr>
        <w:t>a</w:t>
      </w:r>
      <w:r w:rsidRPr="00FD1E20">
        <w:rPr>
          <w:rFonts w:ascii="Bookman Old Style" w:hAnsi="Bookman Old Style"/>
          <w:b/>
          <w:bCs/>
        </w:rPr>
        <w:t xml:space="preserve"> dall’ANCI</w:t>
      </w:r>
      <w:r w:rsidR="007C16D2" w:rsidRPr="006449FB">
        <w:rPr>
          <w:rFonts w:ascii="Bookman Old Style" w:hAnsi="Bookman Old Style"/>
        </w:rPr>
        <w:t>,</w:t>
      </w:r>
      <w:r w:rsidRPr="00FD1E20">
        <w:rPr>
          <w:rFonts w:ascii="Bookman Old Style" w:hAnsi="Bookman Old Style"/>
        </w:rPr>
        <w:t xml:space="preserve"> prevede che </w:t>
      </w:r>
      <w:r w:rsidRPr="00C55198">
        <w:rPr>
          <w:rFonts w:ascii="Bookman Old Style" w:hAnsi="Bookman Old Style"/>
          <w:b/>
          <w:bCs/>
        </w:rPr>
        <w:t>non si applichino le sanzioni</w:t>
      </w:r>
      <w:r w:rsidRPr="00FD1E20">
        <w:rPr>
          <w:rFonts w:ascii="Bookman Old Style" w:hAnsi="Bookman Old Style"/>
        </w:rPr>
        <w:t xml:space="preserve"> relative alla trasmissione tardiva delle certificazioni </w:t>
      </w:r>
      <w:r w:rsidR="00C63688">
        <w:rPr>
          <w:rFonts w:ascii="Bookman Old Style" w:hAnsi="Bookman Old Style"/>
        </w:rPr>
        <w:t>Covid</w:t>
      </w:r>
      <w:r w:rsidR="00896D37">
        <w:rPr>
          <w:rFonts w:ascii="Bookman Old Style" w:hAnsi="Bookman Old Style"/>
        </w:rPr>
        <w:t xml:space="preserve"> per gli anni</w:t>
      </w:r>
      <w:r w:rsidR="0021273B" w:rsidRPr="008A4C8E">
        <w:rPr>
          <w:rFonts w:ascii="Bookman Old Style" w:hAnsi="Bookman Old Style"/>
        </w:rPr>
        <w:t xml:space="preserve"> 2020</w:t>
      </w:r>
      <w:r w:rsidR="00896D37">
        <w:rPr>
          <w:rFonts w:ascii="Bookman Old Style" w:hAnsi="Bookman Old Style"/>
        </w:rPr>
        <w:t xml:space="preserve"> e 2021</w:t>
      </w:r>
      <w:r w:rsidR="008E6E22">
        <w:rPr>
          <w:rFonts w:ascii="Bookman Old Style" w:hAnsi="Bookman Old Style"/>
        </w:rPr>
        <w:t xml:space="preserve">, </w:t>
      </w:r>
      <w:r w:rsidRPr="00C55198">
        <w:rPr>
          <w:rFonts w:ascii="Bookman Old Style" w:hAnsi="Bookman Old Style"/>
          <w:b/>
          <w:bCs/>
        </w:rPr>
        <w:t>qualora gli enti inadempienti trasmettano</w:t>
      </w:r>
      <w:r w:rsidR="00FB76BF" w:rsidRPr="00C55198">
        <w:rPr>
          <w:rFonts w:ascii="Bookman Old Style" w:hAnsi="Bookman Old Style"/>
          <w:b/>
          <w:bCs/>
        </w:rPr>
        <w:t xml:space="preserve"> correttamente</w:t>
      </w:r>
      <w:r w:rsidRPr="00C55198">
        <w:rPr>
          <w:rFonts w:ascii="Bookman Old Style" w:hAnsi="Bookman Old Style"/>
          <w:b/>
          <w:bCs/>
        </w:rPr>
        <w:t>, entro il 15 marzo 2023</w:t>
      </w:r>
      <w:r w:rsidRPr="00FD1E20">
        <w:rPr>
          <w:rFonts w:ascii="Bookman Old Style" w:hAnsi="Bookman Old Style"/>
        </w:rPr>
        <w:t xml:space="preserve">, le predette certificazioni al </w:t>
      </w:r>
      <w:r w:rsidR="00032FCB" w:rsidRPr="00FD1E20">
        <w:rPr>
          <w:rFonts w:ascii="Bookman Old Style" w:hAnsi="Bookman Old Style"/>
        </w:rPr>
        <w:t>M</w:t>
      </w:r>
      <w:r w:rsidR="00032FCB">
        <w:rPr>
          <w:rFonts w:ascii="Bookman Old Style" w:hAnsi="Bookman Old Style"/>
        </w:rPr>
        <w:t>inistero dell’economia e delle finanze</w:t>
      </w:r>
      <w:r w:rsidR="00032FCB" w:rsidRPr="00FD1E20">
        <w:rPr>
          <w:rFonts w:ascii="Bookman Old Style" w:hAnsi="Bookman Old Style"/>
        </w:rPr>
        <w:t xml:space="preserve"> </w:t>
      </w:r>
      <w:r w:rsidRPr="00FD1E20">
        <w:rPr>
          <w:rFonts w:ascii="Bookman Old Style" w:hAnsi="Bookman Old Style"/>
        </w:rPr>
        <w:t>- Dipartimento della ragioneria generale dello Stato</w:t>
      </w:r>
      <w:r w:rsidR="00A82BF4">
        <w:rPr>
          <w:rFonts w:ascii="Bookman Old Style" w:hAnsi="Bookman Old Style"/>
        </w:rPr>
        <w:t xml:space="preserve">, </w:t>
      </w:r>
      <w:r w:rsidR="00A82BF4" w:rsidRPr="00D54CB6">
        <w:rPr>
          <w:rFonts w:ascii="Bookman Old Style" w:hAnsi="Bookman Old Style"/>
        </w:rPr>
        <w:t>utilizzando l’apposito applicativo web https://pareggiobilancio.rgs.mef.gov.it</w:t>
      </w:r>
      <w:r w:rsidRPr="00FD1E20">
        <w:rPr>
          <w:rFonts w:ascii="Bookman Old Style" w:hAnsi="Bookman Old Style"/>
        </w:rPr>
        <w:t>.</w:t>
      </w:r>
    </w:p>
    <w:p w14:paraId="29FD1591" w14:textId="77777777" w:rsidR="004929A2" w:rsidRPr="00DE6D43" w:rsidRDefault="004929A2" w:rsidP="004929A2">
      <w:pPr>
        <w:spacing w:after="0" w:line="240" w:lineRule="auto"/>
        <w:jc w:val="both"/>
        <w:rPr>
          <w:rFonts w:ascii="Bookman Old Style" w:hAnsi="Bookman Old Style"/>
        </w:rPr>
      </w:pPr>
    </w:p>
    <w:p w14:paraId="1A563E02" w14:textId="77777777" w:rsidR="00D3782A" w:rsidRPr="00A74974" w:rsidRDefault="00D3782A" w:rsidP="00D3782A">
      <w:pPr>
        <w:pStyle w:val="Paragrafoelenco"/>
        <w:numPr>
          <w:ilvl w:val="0"/>
          <w:numId w:val="5"/>
        </w:numPr>
        <w:spacing w:after="0" w:line="240" w:lineRule="auto"/>
        <w:rPr>
          <w:rFonts w:ascii="Bookman Old Style" w:hAnsi="Bookman Old Style"/>
          <w:b/>
          <w:bCs/>
          <w:i/>
          <w:iCs/>
        </w:rPr>
      </w:pPr>
      <w:r w:rsidRPr="00C55198">
        <w:rPr>
          <w:rFonts w:ascii="Bookman Old Style" w:eastAsiaTheme="majorEastAsia" w:hAnsi="Bookman Old Style" w:cstheme="majorBidi"/>
          <w:b/>
          <w:bCs/>
          <w:color w:val="2F5496" w:themeColor="accent1" w:themeShade="BF"/>
        </w:rPr>
        <w:t xml:space="preserve">Inquadramento personale PA in ruolo </w:t>
      </w:r>
      <w:r w:rsidRPr="00A74974">
        <w:rPr>
          <w:rFonts w:ascii="Bookman Old Style" w:eastAsiaTheme="majorEastAsia" w:hAnsi="Bookman Old Style" w:cstheme="majorBidi"/>
          <w:b/>
          <w:bCs/>
          <w:i/>
          <w:iCs/>
          <w:color w:val="2F5496" w:themeColor="accent1" w:themeShade="BF"/>
        </w:rPr>
        <w:t>(Art. 1, comma 22 quater)</w:t>
      </w:r>
    </w:p>
    <w:p w14:paraId="79FACD1D" w14:textId="67AC598C" w:rsidR="00DF2247" w:rsidRDefault="00DF2247" w:rsidP="00DF2247">
      <w:pPr>
        <w:jc w:val="both"/>
        <w:rPr>
          <w:rFonts w:ascii="Bookman Old Style" w:hAnsi="Bookman Old Style"/>
        </w:rPr>
      </w:pPr>
      <w:bookmarkStart w:id="6" w:name="_Hlk127529424"/>
      <w:r w:rsidRPr="005A3A33">
        <w:rPr>
          <w:rFonts w:ascii="Bookman Old Style" w:hAnsi="Bookman Old Style"/>
          <w:b/>
          <w:bCs/>
        </w:rPr>
        <w:t>La norma</w:t>
      </w:r>
      <w:r w:rsidRPr="005A3A33">
        <w:rPr>
          <w:rFonts w:ascii="Bookman Old Style" w:hAnsi="Bookman Old Style"/>
        </w:rPr>
        <w:t xml:space="preserve">, </w:t>
      </w:r>
      <w:r w:rsidRPr="005A3A33">
        <w:rPr>
          <w:rFonts w:ascii="Bookman Old Style" w:hAnsi="Bookman Old Style"/>
          <w:b/>
          <w:bCs/>
        </w:rPr>
        <w:t>approvata in Senato</w:t>
      </w:r>
      <w:bookmarkEnd w:id="6"/>
      <w:r w:rsidRPr="005A3A33">
        <w:rPr>
          <w:rFonts w:ascii="Bookman Old Style" w:hAnsi="Bookman Old Style"/>
        </w:rPr>
        <w:t>, proroga fino al 31 marzo 2023 una disciplina transitoria che consente, a determinate condizioni e con alcune esclusioni, l’inquadramento in ruolo del personale che alla data del 31 gennaio 2022 si trovasse in posizione di comando o distacco. Tali procedure straordinarie possono essere attivate entro il 31 marzo 2023, nel limite del 50 per cento delle vigenti facoltà assunzionali, con riferimento a dipendenti già in servizio a tempo indeterminato presso un soggetto pubblico.</w:t>
      </w:r>
    </w:p>
    <w:p w14:paraId="6480757D" w14:textId="77777777" w:rsidR="006F3F6A" w:rsidRPr="00C55198" w:rsidRDefault="006F3F6A" w:rsidP="006F3F6A">
      <w:pPr>
        <w:pStyle w:val="Paragrafoelenco"/>
        <w:numPr>
          <w:ilvl w:val="0"/>
          <w:numId w:val="5"/>
        </w:numPr>
        <w:spacing w:after="0" w:line="240" w:lineRule="auto"/>
        <w:rPr>
          <w:rFonts w:ascii="Bookman Old Style" w:eastAsiaTheme="majorEastAsia" w:hAnsi="Bookman Old Style" w:cstheme="majorBidi"/>
          <w:b/>
          <w:bCs/>
          <w:color w:val="2F5496" w:themeColor="accent1" w:themeShade="BF"/>
        </w:rPr>
      </w:pPr>
      <w:r w:rsidRPr="00C55198">
        <w:rPr>
          <w:rFonts w:ascii="Bookman Old Style" w:eastAsiaTheme="majorEastAsia" w:hAnsi="Bookman Old Style" w:cstheme="majorBidi"/>
          <w:b/>
          <w:bCs/>
          <w:color w:val="2F5496" w:themeColor="accent1" w:themeShade="BF"/>
        </w:rPr>
        <w:t xml:space="preserve">Esenzione autorizzazione paesaggistica dehors </w:t>
      </w:r>
      <w:r w:rsidRPr="00A74974">
        <w:rPr>
          <w:rFonts w:ascii="Bookman Old Style" w:eastAsiaTheme="majorEastAsia" w:hAnsi="Bookman Old Style" w:cstheme="majorBidi"/>
          <w:b/>
          <w:bCs/>
          <w:i/>
          <w:iCs/>
          <w:color w:val="2F5496" w:themeColor="accent1" w:themeShade="BF"/>
        </w:rPr>
        <w:t>(Art. 1, comma 22 quinquies)</w:t>
      </w:r>
    </w:p>
    <w:p w14:paraId="39F0B4DD" w14:textId="5FB6C31A" w:rsidR="004D53ED" w:rsidRPr="005A3A33" w:rsidRDefault="004D53ED" w:rsidP="004D53ED">
      <w:pPr>
        <w:spacing w:after="0"/>
        <w:jc w:val="both"/>
        <w:rPr>
          <w:rFonts w:ascii="Bookman Old Style" w:hAnsi="Bookman Old Style"/>
        </w:rPr>
      </w:pPr>
      <w:r w:rsidRPr="005A3A33">
        <w:rPr>
          <w:rFonts w:ascii="Bookman Old Style" w:hAnsi="Bookman Old Style"/>
          <w:b/>
          <w:bCs/>
        </w:rPr>
        <w:t>La norma</w:t>
      </w:r>
      <w:r w:rsidRPr="005A3A33">
        <w:rPr>
          <w:rFonts w:ascii="Bookman Old Style" w:hAnsi="Bookman Old Style"/>
        </w:rPr>
        <w:t xml:space="preserve">, </w:t>
      </w:r>
      <w:r w:rsidRPr="005A3A33">
        <w:rPr>
          <w:rFonts w:ascii="Bookman Old Style" w:hAnsi="Bookman Old Style"/>
          <w:b/>
          <w:bCs/>
        </w:rPr>
        <w:t>approvata in Senato, proroga</w:t>
      </w:r>
      <w:r w:rsidRPr="005A3A33">
        <w:rPr>
          <w:rFonts w:ascii="Bookman Old Style" w:hAnsi="Bookman Old Style"/>
        </w:rPr>
        <w:t xml:space="preserve"> ulteriormente, </w:t>
      </w:r>
      <w:r w:rsidRPr="005A3A33">
        <w:rPr>
          <w:rFonts w:ascii="Bookman Old Style" w:hAnsi="Bookman Old Style"/>
          <w:b/>
          <w:bCs/>
        </w:rPr>
        <w:t>fino al 31 dicembre 2023, l’applicazione delle misure di semplificazione</w:t>
      </w:r>
      <w:r w:rsidRPr="005A3A33">
        <w:rPr>
          <w:rFonts w:ascii="Bookman Old Style" w:hAnsi="Bookman Old Style"/>
        </w:rPr>
        <w:t xml:space="preserve"> </w:t>
      </w:r>
      <w:r w:rsidRPr="005A3A33">
        <w:rPr>
          <w:rFonts w:ascii="Bookman Old Style" w:hAnsi="Bookman Old Style"/>
          <w:b/>
          <w:bCs/>
        </w:rPr>
        <w:t>per i pubblici esercizi</w:t>
      </w:r>
      <w:r w:rsidRPr="005A3A33">
        <w:rPr>
          <w:rFonts w:ascii="Bookman Old Style" w:hAnsi="Bookman Old Style"/>
        </w:rPr>
        <w:t xml:space="preserve"> di cui all’articolo 9 ter, comma 5, del decreto legge 28 ottobre 2020, n. 137, salva disdetta dell’interessato. </w:t>
      </w:r>
    </w:p>
    <w:p w14:paraId="62574D23" w14:textId="77777777" w:rsidR="004D53ED" w:rsidRPr="005A3A33" w:rsidRDefault="004D53ED" w:rsidP="00D039FD">
      <w:pPr>
        <w:spacing w:after="0"/>
        <w:jc w:val="both"/>
        <w:rPr>
          <w:rFonts w:ascii="Bookman Old Style" w:hAnsi="Bookman Old Style"/>
        </w:rPr>
      </w:pPr>
      <w:r w:rsidRPr="005A3A33">
        <w:rPr>
          <w:rFonts w:ascii="Bookman Old Style" w:hAnsi="Bookman Old Style"/>
        </w:rPr>
        <w:t xml:space="preserve">Pertanto, fino al 31 dicembre 2023, la </w:t>
      </w:r>
      <w:r w:rsidRPr="005A3A33">
        <w:rPr>
          <w:rFonts w:ascii="Bookman Old Style" w:hAnsi="Bookman Old Style"/>
          <w:u w:val="single"/>
        </w:rPr>
        <w:t>posa in opera temporanea su vie, piazze, strade e altri spazi aperti di interesse culturale o paesaggistico, da parte dei titolari di pubblici esercizi, di strutture amovibili</w:t>
      </w:r>
      <w:r w:rsidRPr="005A3A33">
        <w:rPr>
          <w:rFonts w:ascii="Bookman Old Style" w:hAnsi="Bookman Old Style"/>
        </w:rPr>
        <w:t xml:space="preserve"> quali dehors, elementi di arredo urbano, attrezzature, pedane, tavolini, sedute e ombrelloni </w:t>
      </w:r>
      <w:r w:rsidRPr="005A3A33">
        <w:rPr>
          <w:rFonts w:ascii="Bookman Old Style" w:hAnsi="Bookman Old Style"/>
          <w:u w:val="single"/>
        </w:rPr>
        <w:t xml:space="preserve">non è subordinata alle autorizzazioni di cui agli artt. </w:t>
      </w:r>
      <w:r w:rsidRPr="005A3A33">
        <w:rPr>
          <w:rFonts w:ascii="Bookman Old Style" w:hAnsi="Bookman Old Style"/>
          <w:u w:val="single"/>
        </w:rPr>
        <w:lastRenderedPageBreak/>
        <w:t>21 e 146 del Codice dei beni culturali di cui al D.lgs n. 42/2004</w:t>
      </w:r>
      <w:r w:rsidRPr="005A3A33">
        <w:rPr>
          <w:rFonts w:ascii="Bookman Old Style" w:hAnsi="Bookman Old Style"/>
        </w:rPr>
        <w:t xml:space="preserve"> ed è disapplicato il limite temporale di cui all'articolo 6, c. 1, lettera e-bis), del DPR n. 380/2001. </w:t>
      </w:r>
    </w:p>
    <w:p w14:paraId="5F36D371" w14:textId="77777777" w:rsidR="004D53ED" w:rsidRPr="00C55198" w:rsidRDefault="004D53ED" w:rsidP="00D039FD">
      <w:pPr>
        <w:spacing w:after="0"/>
        <w:jc w:val="both"/>
        <w:rPr>
          <w:rFonts w:ascii="Bookman Old Style" w:hAnsi="Bookman Old Style"/>
        </w:rPr>
      </w:pPr>
    </w:p>
    <w:p w14:paraId="0F44F1E2" w14:textId="05388814" w:rsidR="00C6281D" w:rsidRPr="00A74974" w:rsidRDefault="00C6281D" w:rsidP="00D039FD">
      <w:pPr>
        <w:pStyle w:val="Paragrafoelenco"/>
        <w:numPr>
          <w:ilvl w:val="0"/>
          <w:numId w:val="5"/>
        </w:numPr>
        <w:spacing w:after="0" w:line="240" w:lineRule="auto"/>
        <w:jc w:val="both"/>
        <w:rPr>
          <w:rFonts w:ascii="Bookman Old Style" w:eastAsiaTheme="majorEastAsia" w:hAnsi="Bookman Old Style" w:cstheme="majorBidi"/>
          <w:b/>
          <w:bCs/>
          <w:i/>
          <w:iCs/>
          <w:color w:val="2F5496" w:themeColor="accent1" w:themeShade="BF"/>
        </w:rPr>
      </w:pPr>
      <w:r w:rsidRPr="00C55198">
        <w:rPr>
          <w:rFonts w:ascii="Bookman Old Style" w:eastAsiaTheme="majorEastAsia" w:hAnsi="Bookman Old Style" w:cstheme="majorBidi"/>
          <w:b/>
          <w:bCs/>
          <w:color w:val="2F5496" w:themeColor="accent1" w:themeShade="BF"/>
        </w:rPr>
        <w:t xml:space="preserve">Digitalizzazione PA </w:t>
      </w:r>
      <w:r w:rsidRPr="00A74974">
        <w:rPr>
          <w:rFonts w:ascii="Bookman Old Style" w:eastAsiaTheme="majorEastAsia" w:hAnsi="Bookman Old Style" w:cstheme="majorBidi"/>
          <w:b/>
          <w:bCs/>
          <w:i/>
          <w:iCs/>
          <w:color w:val="2F5496" w:themeColor="accent1" w:themeShade="BF"/>
        </w:rPr>
        <w:t>(Art. 1 ter)</w:t>
      </w:r>
    </w:p>
    <w:p w14:paraId="7956EFED" w14:textId="7461A048" w:rsidR="00D039FD" w:rsidRPr="000E1CD2" w:rsidRDefault="00D039FD" w:rsidP="00D039FD">
      <w:pPr>
        <w:jc w:val="both"/>
        <w:rPr>
          <w:rFonts w:ascii="Bookman Old Style" w:hAnsi="Bookman Old Style"/>
        </w:rPr>
      </w:pPr>
      <w:r w:rsidRPr="000E1CD2">
        <w:rPr>
          <w:rFonts w:ascii="Bookman Old Style" w:hAnsi="Bookman Old Style"/>
          <w:shd w:val="clear" w:color="auto" w:fill="FFFFFF"/>
        </w:rPr>
        <w:t xml:space="preserve">L’art. 1-ter, introdotto dal Senato, prevede </w:t>
      </w:r>
      <w:r w:rsidRPr="000E1CD2">
        <w:rPr>
          <w:rFonts w:ascii="Bookman Old Style" w:hAnsi="Bookman Old Style"/>
          <w:b/>
          <w:bCs/>
          <w:shd w:val="clear" w:color="auto" w:fill="FFFFFF"/>
        </w:rPr>
        <w:t>che i termini temporali riferiti agli strumenti di acquisto e agli accordi quadro realizzati dalla Consip S.p.A. e dai soggetti aggregatori</w:t>
      </w:r>
      <w:r w:rsidRPr="000E1CD2">
        <w:rPr>
          <w:rFonts w:ascii="Bookman Old Style" w:hAnsi="Bookman Old Style"/>
          <w:shd w:val="clear" w:color="auto" w:fill="FFFFFF"/>
        </w:rPr>
        <w:t xml:space="preserve"> aventi ad oggetto i servizi di gestione e </w:t>
      </w:r>
      <w:r w:rsidRPr="000E1CD2">
        <w:rPr>
          <w:rFonts w:ascii="Bookman Old Style" w:hAnsi="Bookman Old Style"/>
          <w:u w:val="single"/>
          <w:shd w:val="clear" w:color="auto" w:fill="FFFFFF"/>
        </w:rPr>
        <w:t>manutenzione dei sistemi IP e quelli aventi ad oggetto servizi di connettività del Sistema pubblico di connettività</w:t>
      </w:r>
      <w:r w:rsidRPr="000E1CD2">
        <w:rPr>
          <w:rFonts w:ascii="Bookman Old Style" w:hAnsi="Bookman Old Style"/>
          <w:shd w:val="clear" w:color="auto" w:fill="FFFFFF"/>
        </w:rPr>
        <w:t>, la cui durata contrattuale non sia ancora scaduta</w:t>
      </w:r>
      <w:r w:rsidR="00967C54" w:rsidRPr="000E1CD2">
        <w:rPr>
          <w:rFonts w:ascii="Bookman Old Style" w:hAnsi="Bookman Old Style"/>
          <w:shd w:val="clear" w:color="auto" w:fill="FFFFFF"/>
        </w:rPr>
        <w:t xml:space="preserve"> </w:t>
      </w:r>
      <w:r w:rsidR="00081089" w:rsidRPr="000E1CD2">
        <w:rPr>
          <w:rFonts w:ascii="Bookman Old Style" w:hAnsi="Bookman Old Style"/>
          <w:shd w:val="clear" w:color="auto" w:fill="FFFFFF"/>
        </w:rPr>
        <w:t xml:space="preserve">alla data di entrata in vigore della legge di conversione del </w:t>
      </w:r>
      <w:r w:rsidR="00D17B17" w:rsidRPr="000E1CD2">
        <w:rPr>
          <w:rFonts w:ascii="Bookman Old Style" w:hAnsi="Bookman Old Style"/>
          <w:shd w:val="clear" w:color="auto" w:fill="FFFFFF"/>
        </w:rPr>
        <w:t xml:space="preserve">presente </w:t>
      </w:r>
      <w:r w:rsidR="00081089" w:rsidRPr="000E1CD2">
        <w:rPr>
          <w:rFonts w:ascii="Bookman Old Style" w:hAnsi="Bookman Old Style"/>
          <w:shd w:val="clear" w:color="auto" w:fill="FFFFFF"/>
        </w:rPr>
        <w:t>provvedimento</w:t>
      </w:r>
      <w:r w:rsidR="00D17B17" w:rsidRPr="000E1CD2">
        <w:rPr>
          <w:rFonts w:ascii="Bookman Old Style" w:hAnsi="Bookman Old Style"/>
          <w:shd w:val="clear" w:color="auto" w:fill="FFFFFF"/>
        </w:rPr>
        <w:t>,</w:t>
      </w:r>
      <w:r w:rsidR="00081089" w:rsidRPr="000E1CD2">
        <w:rPr>
          <w:rFonts w:ascii="Bookman Old Style" w:hAnsi="Bookman Old Style"/>
          <w:shd w:val="clear" w:color="auto" w:fill="FFFFFF"/>
        </w:rPr>
        <w:t xml:space="preserve"> </w:t>
      </w:r>
      <w:r w:rsidRPr="000E1CD2">
        <w:rPr>
          <w:rFonts w:ascii="Bookman Old Style" w:hAnsi="Bookman Old Style"/>
          <w:b/>
          <w:bCs/>
          <w:shd w:val="clear" w:color="auto" w:fill="FFFFFF"/>
        </w:rPr>
        <w:t>siano prorogati al 31 dicembre 2023</w:t>
      </w:r>
      <w:r w:rsidRPr="000E1CD2">
        <w:rPr>
          <w:rFonts w:ascii="Bookman Old Style" w:hAnsi="Bookman Old Style"/>
          <w:shd w:val="clear" w:color="auto" w:fill="FFFFFF"/>
        </w:rPr>
        <w:t xml:space="preserve">. Analogamente, </w:t>
      </w:r>
      <w:r w:rsidRPr="000E1CD2">
        <w:rPr>
          <w:rFonts w:ascii="Bookman Old Style" w:hAnsi="Bookman Old Style"/>
          <w:b/>
          <w:bCs/>
          <w:shd w:val="clear" w:color="auto" w:fill="FFFFFF"/>
        </w:rPr>
        <w:t xml:space="preserve">gli importi e i quantitativi massimi ad essi riferiti </w:t>
      </w:r>
      <w:r w:rsidRPr="000E1CD2">
        <w:rPr>
          <w:rFonts w:ascii="Bookman Old Style" w:hAnsi="Bookman Old Style"/>
          <w:b/>
          <w:bCs/>
        </w:rPr>
        <w:t>sono incrementati in misura pari al</w:t>
      </w:r>
      <w:r w:rsidRPr="000E1CD2">
        <w:rPr>
          <w:rFonts w:ascii="Bookman Old Style" w:hAnsi="Bookman Old Style"/>
        </w:rPr>
        <w:t xml:space="preserve"> </w:t>
      </w:r>
      <w:r w:rsidRPr="000E1CD2">
        <w:rPr>
          <w:rFonts w:ascii="Bookman Old Style" w:hAnsi="Bookman Old Style"/>
          <w:b/>
          <w:bCs/>
        </w:rPr>
        <w:t>50 per cento del valore iniziale</w:t>
      </w:r>
      <w:r w:rsidRPr="000E1CD2">
        <w:rPr>
          <w:rFonts w:ascii="Bookman Old Style" w:hAnsi="Bookman Old Style"/>
        </w:rPr>
        <w:t>, purché detti strumenti non siano già stati prorogati e incrementati da precedenti disposizioni legislative e fatta salva la facoltà di recesso dell’aggiudicatario con riferimento a tale incremento, da esercitare entro quindici giorni dalla data di entrata in vigore della legge di conversione del provvedimento d'urgenza in questione. La disposizione in esame è volta a favorire la più ampia digitalizzazione dei servizi e delle attività della pubblica amministrazione.</w:t>
      </w:r>
    </w:p>
    <w:p w14:paraId="5D683009" w14:textId="77777777" w:rsidR="008D066C" w:rsidRPr="00A74974" w:rsidRDefault="008D066C" w:rsidP="008D066C">
      <w:pPr>
        <w:numPr>
          <w:ilvl w:val="0"/>
          <w:numId w:val="8"/>
        </w:numPr>
        <w:autoSpaceDE w:val="0"/>
        <w:autoSpaceDN w:val="0"/>
        <w:adjustRightInd w:val="0"/>
        <w:spacing w:after="0" w:line="240" w:lineRule="auto"/>
        <w:contextualSpacing/>
        <w:rPr>
          <w:rFonts w:ascii="Bookman Old Style" w:eastAsiaTheme="majorEastAsia" w:hAnsi="Bookman Old Style" w:cstheme="majorBidi"/>
          <w:b/>
          <w:bCs/>
          <w:i/>
          <w:iCs/>
          <w:color w:val="2F5496" w:themeColor="accent1" w:themeShade="BF"/>
        </w:rPr>
      </w:pPr>
      <w:r w:rsidRPr="008D066C">
        <w:rPr>
          <w:rFonts w:ascii="Bookman Old Style" w:eastAsiaTheme="majorEastAsia" w:hAnsi="Bookman Old Style" w:cstheme="majorBidi"/>
          <w:b/>
          <w:bCs/>
          <w:color w:val="2F5496" w:themeColor="accent1" w:themeShade="BF"/>
        </w:rPr>
        <w:t xml:space="preserve">Proroga revisione norme tecniche per costruzioni </w:t>
      </w:r>
      <w:r w:rsidRPr="00A74974">
        <w:rPr>
          <w:rFonts w:ascii="Bookman Old Style" w:eastAsiaTheme="majorEastAsia" w:hAnsi="Bookman Old Style" w:cstheme="majorBidi"/>
          <w:b/>
          <w:bCs/>
          <w:i/>
          <w:iCs/>
          <w:color w:val="2F5496" w:themeColor="accent1" w:themeShade="BF"/>
        </w:rPr>
        <w:t>(Art. 2, comma 4)</w:t>
      </w:r>
    </w:p>
    <w:p w14:paraId="0107AC8E" w14:textId="77777777" w:rsidR="008D066C" w:rsidRPr="008D066C" w:rsidRDefault="008D066C" w:rsidP="008D066C">
      <w:pPr>
        <w:autoSpaceDE w:val="0"/>
        <w:autoSpaceDN w:val="0"/>
        <w:spacing w:after="0" w:line="240" w:lineRule="auto"/>
        <w:jc w:val="both"/>
        <w:rPr>
          <w:rFonts w:ascii="Bookman Old Style" w:hAnsi="Bookman Old Style" w:cs="Times New Roman"/>
          <w:color w:val="000000"/>
        </w:rPr>
      </w:pPr>
      <w:r w:rsidRPr="008D066C">
        <w:rPr>
          <w:rFonts w:ascii="Bookman Old Style" w:hAnsi="Bookman Old Style" w:cs="Times New Roman"/>
          <w:color w:val="000000"/>
        </w:rPr>
        <w:t>La norma</w:t>
      </w:r>
      <w:r w:rsidRPr="008D066C">
        <w:rPr>
          <w:rFonts w:ascii="Bookman Old Style" w:hAnsi="Bookman Old Style" w:cs="Times New Roman"/>
          <w:b/>
          <w:bCs/>
          <w:color w:val="000000"/>
        </w:rPr>
        <w:t xml:space="preserve"> </w:t>
      </w:r>
      <w:r w:rsidRPr="008D066C">
        <w:rPr>
          <w:rFonts w:ascii="Bookman Old Style" w:hAnsi="Bookman Old Style" w:cs="Times New Roman"/>
          <w:color w:val="000000"/>
        </w:rPr>
        <w:t xml:space="preserve">proroga dal </w:t>
      </w:r>
      <w:r w:rsidRPr="00086041">
        <w:rPr>
          <w:rFonts w:ascii="Bookman Old Style" w:hAnsi="Bookman Old Style" w:cs="Times New Roman"/>
          <w:b/>
          <w:bCs/>
          <w:color w:val="000000"/>
        </w:rPr>
        <w:t>31 dicembre 2022 al 31 dicembre 2023</w:t>
      </w:r>
      <w:r w:rsidRPr="008D066C">
        <w:rPr>
          <w:rFonts w:ascii="Bookman Old Style" w:hAnsi="Bookman Old Style" w:cs="Times New Roman"/>
          <w:color w:val="000000"/>
        </w:rPr>
        <w:t xml:space="preserve"> il termine per la verifica di vulnerabilità sismica sia degli edifici di interesse strategico e delle opere infrastrutturali la cui funzionalità durante gli eventi sismici assume rilievo fondamentale per le finalità di protezione civile, sia degli edifici e delle opere infrastrutturali che possono assumere rilevanza in relazione alle conseguenze di un eventuale collasso.</w:t>
      </w:r>
    </w:p>
    <w:p w14:paraId="1A9A48C3" w14:textId="77777777" w:rsidR="008216C6" w:rsidRPr="008D066C" w:rsidRDefault="008216C6" w:rsidP="008D066C">
      <w:pPr>
        <w:autoSpaceDE w:val="0"/>
        <w:autoSpaceDN w:val="0"/>
        <w:spacing w:after="0" w:line="240" w:lineRule="auto"/>
        <w:jc w:val="both"/>
        <w:rPr>
          <w:rFonts w:ascii="Bookman Old Style" w:hAnsi="Bookman Old Style"/>
        </w:rPr>
      </w:pPr>
    </w:p>
    <w:p w14:paraId="3264D033" w14:textId="77777777" w:rsidR="008D066C" w:rsidRPr="00A74974" w:rsidRDefault="008D066C" w:rsidP="008D066C">
      <w:pPr>
        <w:keepNext/>
        <w:keepLines/>
        <w:numPr>
          <w:ilvl w:val="0"/>
          <w:numId w:val="8"/>
        </w:numPr>
        <w:spacing w:before="40" w:after="0" w:line="256" w:lineRule="auto"/>
        <w:contextualSpacing/>
        <w:jc w:val="both"/>
        <w:outlineLvl w:val="1"/>
        <w:rPr>
          <w:rFonts w:ascii="Bookman Old Style" w:eastAsiaTheme="majorEastAsia" w:hAnsi="Bookman Old Style" w:cstheme="majorBidi"/>
          <w:b/>
          <w:bCs/>
          <w:i/>
          <w:iCs/>
          <w:color w:val="2F5496" w:themeColor="accent1" w:themeShade="BF"/>
        </w:rPr>
      </w:pPr>
      <w:r w:rsidRPr="008D066C">
        <w:rPr>
          <w:rFonts w:ascii="Bookman Old Style" w:eastAsiaTheme="majorEastAsia" w:hAnsi="Bookman Old Style" w:cstheme="majorBidi"/>
          <w:b/>
          <w:bCs/>
          <w:color w:val="2F5496" w:themeColor="accent1" w:themeShade="BF"/>
        </w:rPr>
        <w:t xml:space="preserve">Proroga utilizzo contributo per assistenza nei confronti dei minori non accompagnati provenienti dall’Ucraina </w:t>
      </w:r>
      <w:r w:rsidRPr="00A74974">
        <w:rPr>
          <w:rFonts w:ascii="Bookman Old Style" w:eastAsiaTheme="majorEastAsia" w:hAnsi="Bookman Old Style" w:cstheme="majorBidi"/>
          <w:b/>
          <w:bCs/>
          <w:i/>
          <w:iCs/>
          <w:color w:val="2F5496" w:themeColor="accent1" w:themeShade="BF"/>
        </w:rPr>
        <w:t>(Art. 2, commi 7 e 8)</w:t>
      </w:r>
    </w:p>
    <w:p w14:paraId="6093F929" w14:textId="77777777" w:rsidR="008D066C" w:rsidRPr="008D066C" w:rsidRDefault="008D066C" w:rsidP="008D066C">
      <w:pPr>
        <w:autoSpaceDE w:val="0"/>
        <w:autoSpaceDN w:val="0"/>
        <w:spacing w:after="0" w:line="240" w:lineRule="auto"/>
        <w:jc w:val="both"/>
        <w:rPr>
          <w:rFonts w:ascii="Bookman Old Style" w:hAnsi="Bookman Old Style"/>
        </w:rPr>
      </w:pPr>
      <w:r w:rsidRPr="008D066C">
        <w:rPr>
          <w:rFonts w:ascii="Bookman Old Style" w:hAnsi="Bookman Old Style" w:cs="Times New Roman"/>
          <w:color w:val="000000"/>
        </w:rPr>
        <w:t>La norma</w:t>
      </w:r>
      <w:r w:rsidRPr="008D066C">
        <w:rPr>
          <w:rFonts w:ascii="Bookman Old Style" w:hAnsi="Bookman Old Style" w:cs="Times New Roman"/>
          <w:b/>
          <w:bCs/>
          <w:color w:val="000000"/>
        </w:rPr>
        <w:t xml:space="preserve"> </w:t>
      </w:r>
      <w:r w:rsidRPr="008D066C">
        <w:rPr>
          <w:rFonts w:ascii="Bookman Old Style" w:hAnsi="Bookman Old Style" w:cs="Times New Roman"/>
          <w:color w:val="000000"/>
        </w:rPr>
        <w:t>consente di utilizzare anche per l’anno 2023 lo stanziamento (autorizzato dall’articolo 13-</w:t>
      </w:r>
      <w:r w:rsidRPr="008D066C">
        <w:rPr>
          <w:rFonts w:ascii="Bookman Old Style" w:hAnsi="Bookman Old Style" w:cs="Times New Roman"/>
          <w:i/>
          <w:iCs/>
          <w:color w:val="000000"/>
        </w:rPr>
        <w:t xml:space="preserve">bis </w:t>
      </w:r>
      <w:r w:rsidRPr="008D066C">
        <w:rPr>
          <w:rFonts w:ascii="Bookman Old Style" w:hAnsi="Bookman Old Style" w:cs="Times New Roman"/>
          <w:color w:val="000000"/>
        </w:rPr>
        <w:t xml:space="preserve">del D.L. 21/2022 per il solo anno 2022), finalizzato ad erogare un </w:t>
      </w:r>
      <w:r w:rsidRPr="008D066C">
        <w:rPr>
          <w:rFonts w:ascii="Bookman Old Style" w:hAnsi="Bookman Old Style" w:cs="Times New Roman"/>
          <w:b/>
          <w:bCs/>
          <w:color w:val="000000"/>
        </w:rPr>
        <w:t xml:space="preserve">contributo </w:t>
      </w:r>
      <w:r w:rsidRPr="008D066C">
        <w:rPr>
          <w:rFonts w:ascii="Bookman Old Style" w:hAnsi="Bookman Old Style" w:cs="Times New Roman"/>
          <w:color w:val="000000"/>
        </w:rPr>
        <w:t xml:space="preserve">fino al massimo di 100 euro al giorno </w:t>
      </w:r>
      <w:r w:rsidRPr="008D066C">
        <w:rPr>
          <w:rFonts w:ascii="Bookman Old Style" w:hAnsi="Bookman Old Style" w:cs="Times New Roman"/>
          <w:i/>
          <w:iCs/>
          <w:color w:val="000000"/>
        </w:rPr>
        <w:t xml:space="preserve">pro-capite </w:t>
      </w:r>
      <w:r w:rsidRPr="008D066C">
        <w:rPr>
          <w:rFonts w:ascii="Bookman Old Style" w:hAnsi="Bookman Old Style" w:cs="Times New Roman"/>
          <w:color w:val="000000"/>
        </w:rPr>
        <w:t xml:space="preserve">a titolo di </w:t>
      </w:r>
      <w:r w:rsidRPr="008D066C">
        <w:rPr>
          <w:rFonts w:ascii="Bookman Old Style" w:hAnsi="Bookman Old Style" w:cs="Times New Roman"/>
          <w:b/>
          <w:bCs/>
          <w:color w:val="000000"/>
        </w:rPr>
        <w:t xml:space="preserve">rimborso </w:t>
      </w:r>
      <w:r w:rsidRPr="008D066C">
        <w:rPr>
          <w:rFonts w:ascii="Bookman Old Style" w:hAnsi="Bookman Old Style" w:cs="Times New Roman"/>
          <w:color w:val="000000"/>
        </w:rPr>
        <w:t xml:space="preserve">per i </w:t>
      </w:r>
      <w:r w:rsidRPr="008D066C">
        <w:rPr>
          <w:rFonts w:ascii="Bookman Old Style" w:hAnsi="Bookman Old Style" w:cs="Times New Roman"/>
          <w:b/>
          <w:bCs/>
          <w:color w:val="000000"/>
        </w:rPr>
        <w:t xml:space="preserve">comuni </w:t>
      </w:r>
      <w:r w:rsidRPr="008D066C">
        <w:rPr>
          <w:rFonts w:ascii="Bookman Old Style" w:hAnsi="Bookman Old Style" w:cs="Times New Roman"/>
          <w:color w:val="000000"/>
        </w:rPr>
        <w:t xml:space="preserve">che accolgono direttamente o sostengono le spese per l’affidamento familiare dei </w:t>
      </w:r>
      <w:r w:rsidRPr="008D066C">
        <w:rPr>
          <w:rFonts w:ascii="Bookman Old Style" w:hAnsi="Bookman Old Style" w:cs="Times New Roman"/>
          <w:b/>
          <w:bCs/>
          <w:color w:val="000000"/>
        </w:rPr>
        <w:t>minori non accompagnati provenienti dall’Ucraina</w:t>
      </w:r>
      <w:r w:rsidRPr="008D066C">
        <w:rPr>
          <w:rFonts w:ascii="Bookman Old Style" w:hAnsi="Bookman Old Style" w:cs="Times New Roman"/>
          <w:color w:val="000000"/>
        </w:rPr>
        <w:t>, in conseguenza della crisi politica e militare in atto.</w:t>
      </w:r>
    </w:p>
    <w:p w14:paraId="4819DF8E" w14:textId="64F23F0F" w:rsidR="00D119F2" w:rsidRPr="00A16218" w:rsidRDefault="00D119F2" w:rsidP="00A16218">
      <w:pPr>
        <w:keepNext/>
        <w:keepLines/>
        <w:spacing w:before="40" w:after="0" w:line="256" w:lineRule="auto"/>
        <w:ind w:left="720"/>
        <w:contextualSpacing/>
        <w:jc w:val="both"/>
        <w:outlineLvl w:val="1"/>
        <w:rPr>
          <w:rFonts w:ascii="Bookman Old Style" w:eastAsiaTheme="majorEastAsia" w:hAnsi="Bookman Old Style" w:cstheme="majorBidi"/>
          <w:b/>
          <w:bCs/>
          <w:color w:val="2F5496" w:themeColor="accent1" w:themeShade="BF"/>
        </w:rPr>
      </w:pPr>
    </w:p>
    <w:p w14:paraId="2B7E1994" w14:textId="3C8B8C93" w:rsidR="00D119F2" w:rsidRPr="00A74974" w:rsidRDefault="000C1613" w:rsidP="00A16218">
      <w:pPr>
        <w:keepNext/>
        <w:keepLines/>
        <w:numPr>
          <w:ilvl w:val="0"/>
          <w:numId w:val="8"/>
        </w:numPr>
        <w:spacing w:before="40" w:after="0" w:line="256" w:lineRule="auto"/>
        <w:contextualSpacing/>
        <w:jc w:val="both"/>
        <w:outlineLvl w:val="1"/>
        <w:rPr>
          <w:rFonts w:ascii="Bookman Old Style" w:eastAsiaTheme="majorEastAsia" w:hAnsi="Bookman Old Style" w:cstheme="majorBidi"/>
          <w:b/>
          <w:bCs/>
          <w:i/>
          <w:iCs/>
          <w:color w:val="2F5496" w:themeColor="accent1" w:themeShade="BF"/>
        </w:rPr>
      </w:pPr>
      <w:r w:rsidRPr="00C55198">
        <w:rPr>
          <w:rFonts w:ascii="Bookman Old Style" w:eastAsiaTheme="majorEastAsia" w:hAnsi="Bookman Old Style" w:cstheme="majorBidi"/>
          <w:b/>
          <w:bCs/>
          <w:color w:val="2F5496" w:themeColor="accent1" w:themeShade="BF"/>
        </w:rPr>
        <w:t>Validità e</w:t>
      </w:r>
      <w:r w:rsidR="00D119F2" w:rsidRPr="00C55198">
        <w:rPr>
          <w:rFonts w:ascii="Bookman Old Style" w:eastAsiaTheme="majorEastAsia" w:hAnsi="Bookman Old Style" w:cstheme="majorBidi"/>
          <w:b/>
          <w:bCs/>
          <w:color w:val="2F5496" w:themeColor="accent1" w:themeShade="BF"/>
        </w:rPr>
        <w:t xml:space="preserve">lezioni comunali piccoli comuni </w:t>
      </w:r>
      <w:r w:rsidR="00D119F2" w:rsidRPr="00A74974">
        <w:rPr>
          <w:rFonts w:ascii="Bookman Old Style" w:eastAsiaTheme="majorEastAsia" w:hAnsi="Bookman Old Style" w:cstheme="majorBidi"/>
          <w:b/>
          <w:bCs/>
          <w:i/>
          <w:iCs/>
          <w:color w:val="2F5496" w:themeColor="accent1" w:themeShade="BF"/>
        </w:rPr>
        <w:t>(</w:t>
      </w:r>
      <w:r w:rsidR="00A74974" w:rsidRPr="00A74974">
        <w:rPr>
          <w:rFonts w:ascii="Bookman Old Style" w:eastAsiaTheme="majorEastAsia" w:hAnsi="Bookman Old Style" w:cstheme="majorBidi"/>
          <w:b/>
          <w:bCs/>
          <w:i/>
          <w:iCs/>
          <w:color w:val="2F5496" w:themeColor="accent1" w:themeShade="BF"/>
        </w:rPr>
        <w:t>A</w:t>
      </w:r>
      <w:r w:rsidR="00D119F2" w:rsidRPr="00A74974">
        <w:rPr>
          <w:rFonts w:ascii="Bookman Old Style" w:eastAsiaTheme="majorEastAsia" w:hAnsi="Bookman Old Style" w:cstheme="majorBidi"/>
          <w:b/>
          <w:bCs/>
          <w:i/>
          <w:iCs/>
          <w:color w:val="2F5496" w:themeColor="accent1" w:themeShade="BF"/>
        </w:rPr>
        <w:t>rt. 2, comma 7 ter)</w:t>
      </w:r>
    </w:p>
    <w:p w14:paraId="5893B1A2" w14:textId="2548E49B" w:rsidR="00C47663" w:rsidRPr="005A3A33" w:rsidRDefault="00C47663" w:rsidP="00C47663">
      <w:pPr>
        <w:spacing w:after="0" w:line="240" w:lineRule="auto"/>
        <w:jc w:val="both"/>
        <w:rPr>
          <w:rFonts w:ascii="Bookman Old Style" w:hAnsi="Bookman Old Style"/>
          <w:b/>
          <w:bCs/>
        </w:rPr>
      </w:pPr>
      <w:r w:rsidRPr="005A3A33">
        <w:rPr>
          <w:rFonts w:ascii="Bookman Old Style" w:hAnsi="Bookman Old Style"/>
          <w:b/>
          <w:bCs/>
        </w:rPr>
        <w:t>La norma</w:t>
      </w:r>
      <w:r w:rsidRPr="005A3A33">
        <w:rPr>
          <w:rFonts w:ascii="Bookman Old Style" w:hAnsi="Bookman Old Style"/>
        </w:rPr>
        <w:t xml:space="preserve">, </w:t>
      </w:r>
      <w:r w:rsidRPr="005A3A33">
        <w:rPr>
          <w:rFonts w:ascii="Bookman Old Style" w:hAnsi="Bookman Old Style"/>
          <w:b/>
          <w:bCs/>
        </w:rPr>
        <w:t>approvata in Senato</w:t>
      </w:r>
      <w:r w:rsidRPr="005A3A33">
        <w:rPr>
          <w:rFonts w:ascii="Bookman Old Style" w:hAnsi="Bookman Old Style"/>
        </w:rPr>
        <w:t xml:space="preserve">, </w:t>
      </w:r>
      <w:r w:rsidRPr="005A3A33">
        <w:rPr>
          <w:rFonts w:ascii="Bookman Old Style" w:hAnsi="Bookman Old Style"/>
          <w:b/>
          <w:bCs/>
        </w:rPr>
        <w:t xml:space="preserve">prevede anche per l'anno 2023 </w:t>
      </w:r>
      <w:r w:rsidRPr="005A3A33">
        <w:rPr>
          <w:rFonts w:ascii="Bookman Old Style" w:hAnsi="Bookman Old Style"/>
        </w:rPr>
        <w:t xml:space="preserve">che per l'elezione del sindaco e del consiglio comunale </w:t>
      </w:r>
      <w:r w:rsidRPr="005A3A33">
        <w:rPr>
          <w:rFonts w:ascii="Bookman Old Style" w:hAnsi="Bookman Old Style"/>
          <w:b/>
          <w:bCs/>
        </w:rPr>
        <w:t>nei Comuni con popolazione fino a 15 mila abitanti</w:t>
      </w:r>
      <w:r w:rsidRPr="005A3A33">
        <w:rPr>
          <w:rFonts w:ascii="Bookman Old Style" w:hAnsi="Bookman Old Style"/>
        </w:rPr>
        <w:t xml:space="preserve">, qualora sia stata ammessa e votata una sola lista, siano eletti tutti i candidati compresi nella lista e il candidato a sindaco collegato, purché essa </w:t>
      </w:r>
      <w:r w:rsidRPr="005A3A33">
        <w:rPr>
          <w:rFonts w:ascii="Bookman Old Style" w:hAnsi="Bookman Old Style"/>
          <w:b/>
          <w:bCs/>
        </w:rPr>
        <w:t>abbia riportato un numero di voti validi non inferiore al 50% dei votanti e il numero dei votanti non sia stato inferiore al 40% degli elettori iscritti nelle liste elettorali del comune.</w:t>
      </w:r>
    </w:p>
    <w:p w14:paraId="1EFA2BA0" w14:textId="77777777" w:rsidR="008D066C" w:rsidRPr="008D066C" w:rsidRDefault="008D066C" w:rsidP="008D066C">
      <w:pPr>
        <w:autoSpaceDE w:val="0"/>
        <w:autoSpaceDN w:val="0"/>
        <w:spacing w:after="0" w:line="240" w:lineRule="auto"/>
        <w:jc w:val="both"/>
        <w:rPr>
          <w:rFonts w:ascii="Bookman Old Style" w:eastAsiaTheme="majorEastAsia" w:hAnsi="Bookman Old Style" w:cstheme="majorBidi"/>
          <w:b/>
          <w:bCs/>
          <w:color w:val="2F5496" w:themeColor="accent1" w:themeShade="BF"/>
        </w:rPr>
      </w:pPr>
    </w:p>
    <w:p w14:paraId="7E684A0D" w14:textId="77777777" w:rsidR="008D066C" w:rsidRPr="00A74974" w:rsidRDefault="008D066C" w:rsidP="008D066C">
      <w:pPr>
        <w:numPr>
          <w:ilvl w:val="0"/>
          <w:numId w:val="8"/>
        </w:numPr>
        <w:autoSpaceDE w:val="0"/>
        <w:autoSpaceDN w:val="0"/>
        <w:adjustRightInd w:val="0"/>
        <w:spacing w:after="0" w:line="240" w:lineRule="auto"/>
        <w:contextualSpacing/>
        <w:jc w:val="both"/>
        <w:rPr>
          <w:rFonts w:ascii="Bookman Old Style" w:eastAsiaTheme="majorEastAsia" w:hAnsi="Bookman Old Style" w:cstheme="majorBidi"/>
          <w:b/>
          <w:bCs/>
          <w:i/>
          <w:iCs/>
          <w:color w:val="2F5496" w:themeColor="accent1" w:themeShade="BF"/>
        </w:rPr>
      </w:pPr>
      <w:r w:rsidRPr="008D066C">
        <w:rPr>
          <w:rFonts w:ascii="Bookman Old Style" w:eastAsiaTheme="majorEastAsia" w:hAnsi="Bookman Old Style" w:cstheme="majorBidi"/>
          <w:b/>
          <w:bCs/>
          <w:color w:val="2F5496" w:themeColor="accent1" w:themeShade="BF"/>
        </w:rPr>
        <w:t xml:space="preserve">Proroga termini presentazione della dichiarazione IMU per il 2021 </w:t>
      </w:r>
      <w:r w:rsidRPr="00A74974">
        <w:rPr>
          <w:rFonts w:ascii="Bookman Old Style" w:eastAsiaTheme="majorEastAsia" w:hAnsi="Bookman Old Style" w:cstheme="majorBidi"/>
          <w:b/>
          <w:bCs/>
          <w:i/>
          <w:iCs/>
          <w:color w:val="2F5496" w:themeColor="accent1" w:themeShade="BF"/>
        </w:rPr>
        <w:t>(Art. 3, comma 1)</w:t>
      </w:r>
    </w:p>
    <w:p w14:paraId="01EDC605" w14:textId="77777777" w:rsidR="008D066C" w:rsidRPr="008D066C" w:rsidRDefault="008D066C" w:rsidP="008D066C">
      <w:pPr>
        <w:autoSpaceDE w:val="0"/>
        <w:autoSpaceDN w:val="0"/>
        <w:spacing w:after="0" w:line="240" w:lineRule="auto"/>
        <w:jc w:val="both"/>
        <w:rPr>
          <w:rFonts w:ascii="Bookman Old Style" w:hAnsi="Bookman Old Style" w:cs="Times New Roman"/>
        </w:rPr>
      </w:pPr>
      <w:r w:rsidRPr="008D066C">
        <w:rPr>
          <w:rFonts w:ascii="Bookman Old Style" w:hAnsi="Bookman Old Style" w:cs="Times New Roman"/>
          <w:color w:val="000000"/>
        </w:rPr>
        <w:t xml:space="preserve">La norma </w:t>
      </w:r>
      <w:r w:rsidRPr="008D066C">
        <w:rPr>
          <w:rFonts w:ascii="Bookman Old Style" w:hAnsi="Bookman Old Style" w:cs="Times New Roman"/>
          <w:b/>
          <w:bCs/>
          <w:color w:val="000000"/>
        </w:rPr>
        <w:t xml:space="preserve">proroga al 30 giugno 2023 i termini della presentazione della dichiarazione IMU 2021, </w:t>
      </w:r>
      <w:r w:rsidRPr="008D066C">
        <w:rPr>
          <w:rFonts w:ascii="Bookman Old Style" w:hAnsi="Bookman Old Style" w:cs="Times New Roman"/>
          <w:color w:val="000000"/>
        </w:rPr>
        <w:t>da parte dei soggetti passivi di tale imposta.</w:t>
      </w:r>
      <w:r w:rsidRPr="008D066C">
        <w:rPr>
          <w:rFonts w:ascii="Bookman Old Style" w:hAnsi="Bookman Old Style"/>
        </w:rPr>
        <w:t xml:space="preserve"> Viene modificato quindi l’articolo 35, comma 4, del decreto-legge n. 73 del 2022 che aveva differito al 31 dicembre 2022 i termini per la presentazione della dichiarazione IMU per il 2021.</w:t>
      </w:r>
    </w:p>
    <w:p w14:paraId="19D25382" w14:textId="68EBE34E" w:rsidR="008D066C" w:rsidRDefault="008D066C" w:rsidP="008D066C">
      <w:pPr>
        <w:autoSpaceDE w:val="0"/>
        <w:autoSpaceDN w:val="0"/>
        <w:spacing w:after="0" w:line="240" w:lineRule="auto"/>
        <w:jc w:val="both"/>
        <w:rPr>
          <w:rFonts w:ascii="Bookman Old Style" w:hAnsi="Bookman Old Style"/>
        </w:rPr>
      </w:pPr>
    </w:p>
    <w:p w14:paraId="3C7C1ABA" w14:textId="5E423E9F" w:rsidR="000E1CD2" w:rsidRDefault="000E1CD2" w:rsidP="008D066C">
      <w:pPr>
        <w:autoSpaceDE w:val="0"/>
        <w:autoSpaceDN w:val="0"/>
        <w:spacing w:after="0" w:line="240" w:lineRule="auto"/>
        <w:jc w:val="both"/>
        <w:rPr>
          <w:rFonts w:ascii="Bookman Old Style" w:hAnsi="Bookman Old Style"/>
        </w:rPr>
      </w:pPr>
    </w:p>
    <w:p w14:paraId="2E694EA3" w14:textId="77777777" w:rsidR="000E1CD2" w:rsidRDefault="000E1CD2" w:rsidP="008D066C">
      <w:pPr>
        <w:autoSpaceDE w:val="0"/>
        <w:autoSpaceDN w:val="0"/>
        <w:spacing w:after="0" w:line="240" w:lineRule="auto"/>
        <w:jc w:val="both"/>
        <w:rPr>
          <w:rFonts w:ascii="Bookman Old Style" w:hAnsi="Bookman Old Style"/>
        </w:rPr>
      </w:pPr>
    </w:p>
    <w:p w14:paraId="34DA63B8" w14:textId="77777777" w:rsidR="008D066C" w:rsidRPr="008D066C" w:rsidRDefault="008D066C" w:rsidP="008D066C">
      <w:pPr>
        <w:autoSpaceDE w:val="0"/>
        <w:autoSpaceDN w:val="0"/>
        <w:spacing w:after="0" w:line="240" w:lineRule="auto"/>
        <w:jc w:val="both"/>
        <w:rPr>
          <w:rFonts w:ascii="Bookman Old Style" w:hAnsi="Bookman Old Style"/>
        </w:rPr>
      </w:pPr>
    </w:p>
    <w:p w14:paraId="39304AE2" w14:textId="09A33D87" w:rsidR="008D066C" w:rsidRPr="003313DA" w:rsidRDefault="008D066C" w:rsidP="008D066C">
      <w:pPr>
        <w:numPr>
          <w:ilvl w:val="0"/>
          <w:numId w:val="8"/>
        </w:numPr>
        <w:autoSpaceDE w:val="0"/>
        <w:autoSpaceDN w:val="0"/>
        <w:adjustRightInd w:val="0"/>
        <w:spacing w:after="0" w:line="240" w:lineRule="auto"/>
        <w:contextualSpacing/>
        <w:jc w:val="both"/>
        <w:rPr>
          <w:rFonts w:ascii="Bookman Old Style" w:eastAsiaTheme="majorEastAsia" w:hAnsi="Bookman Old Style" w:cstheme="majorBidi"/>
          <w:b/>
          <w:bCs/>
          <w:i/>
          <w:iCs/>
          <w:color w:val="2F5496" w:themeColor="accent1" w:themeShade="BF"/>
        </w:rPr>
      </w:pPr>
      <w:r w:rsidRPr="008D066C">
        <w:rPr>
          <w:rFonts w:ascii="Bookman Old Style" w:eastAsiaTheme="majorEastAsia" w:hAnsi="Bookman Old Style" w:cstheme="majorBidi"/>
          <w:b/>
          <w:bCs/>
          <w:color w:val="2F5496" w:themeColor="accent1" w:themeShade="BF"/>
        </w:rPr>
        <w:lastRenderedPageBreak/>
        <w:t xml:space="preserve">Proroga esclusione amministrazioni pubbliche da aggiornamento variazione indici ISTAT per locazioni  </w:t>
      </w:r>
      <w:r w:rsidRPr="003313DA">
        <w:rPr>
          <w:rFonts w:ascii="Bookman Old Style" w:eastAsiaTheme="majorEastAsia" w:hAnsi="Bookman Old Style" w:cstheme="majorBidi"/>
          <w:b/>
          <w:bCs/>
          <w:i/>
          <w:iCs/>
          <w:color w:val="2F5496" w:themeColor="accent1" w:themeShade="BF"/>
        </w:rPr>
        <w:t>(Art. 3, comma 4)</w:t>
      </w:r>
    </w:p>
    <w:p w14:paraId="0CB58D0E" w14:textId="77777777" w:rsidR="008D066C" w:rsidRPr="008D066C" w:rsidRDefault="008D066C" w:rsidP="008D066C">
      <w:pPr>
        <w:autoSpaceDE w:val="0"/>
        <w:autoSpaceDN w:val="0"/>
        <w:spacing w:after="0" w:line="240" w:lineRule="auto"/>
        <w:jc w:val="both"/>
        <w:rPr>
          <w:rFonts w:ascii="Bookman Old Style" w:hAnsi="Bookman Old Style" w:cs="Times New Roman"/>
          <w:color w:val="000000"/>
        </w:rPr>
      </w:pPr>
      <w:r w:rsidRPr="008D066C">
        <w:rPr>
          <w:rFonts w:ascii="Bookman Old Style" w:hAnsi="Bookman Old Style" w:cs="Times New Roman"/>
          <w:color w:val="000000"/>
        </w:rPr>
        <w:t>La norma</w:t>
      </w:r>
      <w:r w:rsidRPr="008D066C">
        <w:rPr>
          <w:rFonts w:ascii="Bookman Old Style" w:hAnsi="Bookman Old Style" w:cs="Times New Roman"/>
          <w:b/>
          <w:bCs/>
          <w:color w:val="000000"/>
        </w:rPr>
        <w:t xml:space="preserve"> </w:t>
      </w:r>
      <w:r w:rsidRPr="008D066C">
        <w:rPr>
          <w:rFonts w:ascii="Bookman Old Style" w:hAnsi="Bookman Old Style" w:cs="Times New Roman"/>
          <w:color w:val="000000"/>
        </w:rPr>
        <w:t xml:space="preserve">proroga </w:t>
      </w:r>
      <w:r w:rsidRPr="008D066C">
        <w:rPr>
          <w:rFonts w:ascii="Bookman Old Style" w:hAnsi="Bookman Old Style" w:cs="Times New Roman"/>
          <w:b/>
          <w:bCs/>
          <w:color w:val="000000"/>
        </w:rPr>
        <w:t xml:space="preserve">per l’anno 2023 </w:t>
      </w:r>
      <w:r w:rsidRPr="008D066C">
        <w:rPr>
          <w:rFonts w:ascii="Bookman Old Style" w:hAnsi="Bookman Old Style" w:cs="Times New Roman"/>
          <w:color w:val="000000"/>
        </w:rPr>
        <w:t xml:space="preserve">le norme in materia di razionalizzazione del patrimonio pubblico e di riduzione dei costi per locazioni passive, che </w:t>
      </w:r>
      <w:r w:rsidRPr="008D066C">
        <w:rPr>
          <w:rFonts w:ascii="Bookman Old Style" w:hAnsi="Bookman Old Style" w:cs="Times New Roman"/>
          <w:b/>
          <w:bCs/>
          <w:color w:val="000000"/>
        </w:rPr>
        <w:t xml:space="preserve">escludono le amministrazioni pubbliche dall’aggiornamento </w:t>
      </w:r>
      <w:r w:rsidRPr="008D066C">
        <w:rPr>
          <w:rFonts w:ascii="Bookman Old Style" w:hAnsi="Bookman Old Style" w:cs="Times New Roman"/>
          <w:color w:val="000000"/>
        </w:rPr>
        <w:t xml:space="preserve">relativo alla variazione degli indici ISTAT </w:t>
      </w:r>
      <w:r w:rsidRPr="008D066C">
        <w:rPr>
          <w:rFonts w:ascii="Bookman Old Style" w:hAnsi="Bookman Old Style" w:cs="Times New Roman"/>
          <w:b/>
          <w:bCs/>
          <w:color w:val="000000"/>
        </w:rPr>
        <w:t xml:space="preserve">del canone </w:t>
      </w:r>
      <w:r w:rsidRPr="008D066C">
        <w:rPr>
          <w:rFonts w:ascii="Bookman Old Style" w:hAnsi="Bookman Old Style" w:cs="Times New Roman"/>
          <w:color w:val="000000"/>
        </w:rPr>
        <w:t>dovuto per l'utilizzo in locazione passiva di immobili per finalità istituzionali.</w:t>
      </w:r>
    </w:p>
    <w:p w14:paraId="2BF11A78" w14:textId="77777777" w:rsidR="008D066C" w:rsidRPr="008D066C" w:rsidRDefault="008D066C" w:rsidP="008D066C">
      <w:pPr>
        <w:autoSpaceDE w:val="0"/>
        <w:autoSpaceDN w:val="0"/>
        <w:spacing w:after="0" w:line="240" w:lineRule="auto"/>
        <w:jc w:val="both"/>
        <w:rPr>
          <w:rFonts w:ascii="Bookman Old Style" w:hAnsi="Bookman Old Style" w:cs="Times New Roman"/>
          <w:color w:val="000000"/>
        </w:rPr>
      </w:pPr>
    </w:p>
    <w:p w14:paraId="5B9132E7" w14:textId="77777777" w:rsidR="008D066C" w:rsidRPr="008D066C" w:rsidRDefault="008D066C" w:rsidP="008D066C">
      <w:pPr>
        <w:autoSpaceDE w:val="0"/>
        <w:autoSpaceDN w:val="0"/>
        <w:spacing w:after="0" w:line="240" w:lineRule="auto"/>
        <w:jc w:val="both"/>
        <w:rPr>
          <w:rFonts w:ascii="Bookman Old Style" w:hAnsi="Bookman Old Style" w:cs="Times New Roman"/>
          <w:color w:val="000000"/>
        </w:rPr>
      </w:pPr>
    </w:p>
    <w:p w14:paraId="6C5AA26E" w14:textId="77777777" w:rsidR="008D066C" w:rsidRPr="005753F8" w:rsidRDefault="008D066C" w:rsidP="008D066C">
      <w:pPr>
        <w:numPr>
          <w:ilvl w:val="0"/>
          <w:numId w:val="8"/>
        </w:numPr>
        <w:autoSpaceDE w:val="0"/>
        <w:autoSpaceDN w:val="0"/>
        <w:adjustRightInd w:val="0"/>
        <w:spacing w:after="0" w:line="240" w:lineRule="auto"/>
        <w:contextualSpacing/>
        <w:rPr>
          <w:rFonts w:ascii="Bookman Old Style" w:eastAsiaTheme="majorEastAsia" w:hAnsi="Bookman Old Style" w:cstheme="majorBidi"/>
          <w:b/>
          <w:bCs/>
          <w:i/>
          <w:iCs/>
          <w:color w:val="2F5496" w:themeColor="accent1" w:themeShade="BF"/>
        </w:rPr>
      </w:pPr>
      <w:r w:rsidRPr="008D066C">
        <w:rPr>
          <w:rFonts w:ascii="Bookman Old Style" w:eastAsiaTheme="majorEastAsia" w:hAnsi="Bookman Old Style" w:cstheme="majorBidi"/>
          <w:b/>
          <w:bCs/>
          <w:color w:val="2F5496" w:themeColor="accent1" w:themeShade="BF"/>
        </w:rPr>
        <w:t xml:space="preserve">Proroga inerente gare affidamento servizi mensa </w:t>
      </w:r>
      <w:r w:rsidRPr="005753F8">
        <w:rPr>
          <w:rFonts w:ascii="Bookman Old Style" w:eastAsiaTheme="majorEastAsia" w:hAnsi="Bookman Old Style" w:cstheme="majorBidi"/>
          <w:b/>
          <w:bCs/>
          <w:i/>
          <w:iCs/>
          <w:color w:val="2F5496" w:themeColor="accent1" w:themeShade="BF"/>
        </w:rPr>
        <w:t>(Art. 3, comma 5)</w:t>
      </w:r>
    </w:p>
    <w:p w14:paraId="6C163FFB" w14:textId="7CF3E0A6" w:rsidR="008D066C" w:rsidRPr="008D066C" w:rsidRDefault="008D066C" w:rsidP="008D066C">
      <w:pPr>
        <w:autoSpaceDE w:val="0"/>
        <w:autoSpaceDN w:val="0"/>
        <w:spacing w:after="0" w:line="240" w:lineRule="auto"/>
        <w:jc w:val="both"/>
        <w:rPr>
          <w:rFonts w:ascii="Bookman Old Style" w:hAnsi="Bookman Old Style" w:cs="Times New Roman"/>
        </w:rPr>
      </w:pPr>
      <w:r w:rsidRPr="008D066C">
        <w:rPr>
          <w:rFonts w:ascii="Bookman Old Style" w:hAnsi="Bookman Old Style" w:cs="Times New Roman"/>
        </w:rPr>
        <w:t>La norma</w:t>
      </w:r>
      <w:r w:rsidRPr="008D066C">
        <w:rPr>
          <w:rFonts w:ascii="Bookman Old Style" w:hAnsi="Bookman Old Style" w:cs="Times New Roman"/>
          <w:b/>
          <w:bCs/>
        </w:rPr>
        <w:t xml:space="preserve"> </w:t>
      </w:r>
      <w:r w:rsidRPr="008D066C">
        <w:rPr>
          <w:rFonts w:ascii="Bookman Old Style" w:hAnsi="Bookman Old Style" w:cs="Times New Roman"/>
        </w:rPr>
        <w:t xml:space="preserve">proroga alla data di </w:t>
      </w:r>
      <w:r w:rsidR="00040995">
        <w:rPr>
          <w:rFonts w:ascii="Bookman Old Style" w:hAnsi="Bookman Old Style" w:cs="Times New Roman"/>
        </w:rPr>
        <w:t xml:space="preserve">entrata in vigore del nuovo </w:t>
      </w:r>
      <w:r w:rsidR="006743C7">
        <w:rPr>
          <w:rFonts w:ascii="Bookman Old Style" w:hAnsi="Bookman Old Style" w:cs="Times New Roman"/>
        </w:rPr>
        <w:t>C</w:t>
      </w:r>
      <w:r w:rsidR="00040995">
        <w:rPr>
          <w:rFonts w:ascii="Bookman Old Style" w:hAnsi="Bookman Old Style" w:cs="Times New Roman"/>
        </w:rPr>
        <w:t xml:space="preserve">odice dei </w:t>
      </w:r>
      <w:r w:rsidR="006743C7">
        <w:rPr>
          <w:rFonts w:ascii="Bookman Old Style" w:hAnsi="Bookman Old Style" w:cs="Times New Roman"/>
        </w:rPr>
        <w:t>C</w:t>
      </w:r>
      <w:r w:rsidR="00040995">
        <w:rPr>
          <w:rFonts w:ascii="Bookman Old Style" w:hAnsi="Bookman Old Style" w:cs="Times New Roman"/>
        </w:rPr>
        <w:t>ontratti</w:t>
      </w:r>
      <w:r w:rsidR="00E81F4B">
        <w:rPr>
          <w:rFonts w:ascii="Bookman Old Style" w:hAnsi="Bookman Old Style" w:cs="Times New Roman"/>
        </w:rPr>
        <w:t xml:space="preserve"> </w:t>
      </w:r>
      <w:r w:rsidRPr="008D066C">
        <w:rPr>
          <w:rFonts w:ascii="Bookman Old Style" w:hAnsi="Bookman Old Style" w:cs="Times New Roman"/>
        </w:rPr>
        <w:t>e comunque non oltre il 30 giugno 2023</w:t>
      </w:r>
      <w:r w:rsidRPr="006743C7">
        <w:rPr>
          <w:rFonts w:ascii="Bookman Old Style" w:hAnsi="Bookman Old Style" w:cs="Times New Roman"/>
        </w:rPr>
        <w:t xml:space="preserve">, </w:t>
      </w:r>
      <w:r w:rsidRPr="008D066C">
        <w:rPr>
          <w:rFonts w:ascii="Bookman Old Style" w:hAnsi="Bookman Old Style" w:cs="Times New Roman"/>
        </w:rPr>
        <w:t>l'applicazione dell'articolo 144, comma 6, del decreto legislativo 18 aprile 2016, n. 50, ai sensi del quale l'affidamento dei servizi sostitutivi di mensa avviene esclusivamente con il criterio dell'offerta economicamente più vantaggiosa individuata sulla base del miglior rapporto qualità/prezzo.</w:t>
      </w:r>
    </w:p>
    <w:p w14:paraId="2CA18149" w14:textId="7A0A203D" w:rsidR="008D066C" w:rsidRDefault="008D066C" w:rsidP="008D066C">
      <w:pPr>
        <w:autoSpaceDE w:val="0"/>
        <w:autoSpaceDN w:val="0"/>
        <w:spacing w:after="0" w:line="240" w:lineRule="auto"/>
        <w:jc w:val="both"/>
        <w:rPr>
          <w:rFonts w:ascii="Bookman Old Style" w:hAnsi="Bookman Old Style" w:cs="Times New Roman"/>
        </w:rPr>
      </w:pPr>
    </w:p>
    <w:p w14:paraId="7183C663" w14:textId="675EA90B" w:rsidR="00772296" w:rsidRDefault="00772296" w:rsidP="008D066C">
      <w:pPr>
        <w:autoSpaceDE w:val="0"/>
        <w:autoSpaceDN w:val="0"/>
        <w:spacing w:after="0" w:line="240" w:lineRule="auto"/>
        <w:jc w:val="both"/>
        <w:rPr>
          <w:rFonts w:ascii="Bookman Old Style" w:hAnsi="Bookman Old Style" w:cs="Times New Roman"/>
        </w:rPr>
      </w:pPr>
    </w:p>
    <w:p w14:paraId="39967516" w14:textId="705769BB" w:rsidR="00772296" w:rsidRPr="005753F8" w:rsidRDefault="00772296" w:rsidP="00772296">
      <w:pPr>
        <w:pStyle w:val="Paragrafoelenco"/>
        <w:numPr>
          <w:ilvl w:val="0"/>
          <w:numId w:val="5"/>
        </w:numPr>
        <w:spacing w:after="0" w:line="240" w:lineRule="auto"/>
        <w:jc w:val="both"/>
        <w:rPr>
          <w:rFonts w:ascii="Bookman Old Style" w:eastAsiaTheme="majorEastAsia" w:hAnsi="Bookman Old Style" w:cstheme="majorBidi"/>
          <w:b/>
          <w:bCs/>
          <w:i/>
          <w:iCs/>
          <w:color w:val="2F5496" w:themeColor="accent1" w:themeShade="BF"/>
        </w:rPr>
      </w:pPr>
      <w:r w:rsidRPr="00C55198">
        <w:rPr>
          <w:rFonts w:ascii="Bookman Old Style" w:eastAsiaTheme="majorEastAsia" w:hAnsi="Bookman Old Style" w:cstheme="majorBidi"/>
          <w:b/>
          <w:bCs/>
          <w:color w:val="2F5496" w:themeColor="accent1" w:themeShade="BF"/>
        </w:rPr>
        <w:t xml:space="preserve">Erogazioni </w:t>
      </w:r>
      <w:r w:rsidR="005C7E02">
        <w:rPr>
          <w:rFonts w:ascii="Bookman Old Style" w:eastAsiaTheme="majorEastAsia" w:hAnsi="Bookman Old Style" w:cstheme="majorBidi"/>
          <w:b/>
          <w:bCs/>
          <w:color w:val="2F5496" w:themeColor="accent1" w:themeShade="BF"/>
        </w:rPr>
        <w:t xml:space="preserve">ai Comuni capoluogo di città metropolitana </w:t>
      </w:r>
      <w:r w:rsidRPr="00C55198">
        <w:rPr>
          <w:rFonts w:ascii="Bookman Old Style" w:eastAsiaTheme="majorEastAsia" w:hAnsi="Bookman Old Style" w:cstheme="majorBidi"/>
          <w:b/>
          <w:bCs/>
          <w:color w:val="2F5496" w:themeColor="accent1" w:themeShade="BF"/>
        </w:rPr>
        <w:t xml:space="preserve">in disavanzo </w:t>
      </w:r>
      <w:r w:rsidRPr="005753F8">
        <w:rPr>
          <w:rFonts w:ascii="Bookman Old Style" w:eastAsiaTheme="majorEastAsia" w:hAnsi="Bookman Old Style" w:cstheme="majorBidi"/>
          <w:b/>
          <w:bCs/>
          <w:i/>
          <w:iCs/>
          <w:color w:val="2F5496" w:themeColor="accent1" w:themeShade="BF"/>
        </w:rPr>
        <w:t>(</w:t>
      </w:r>
      <w:r w:rsidR="005753F8" w:rsidRPr="005753F8">
        <w:rPr>
          <w:rFonts w:ascii="Bookman Old Style" w:eastAsiaTheme="majorEastAsia" w:hAnsi="Bookman Old Style" w:cstheme="majorBidi"/>
          <w:b/>
          <w:bCs/>
          <w:i/>
          <w:iCs/>
          <w:color w:val="2F5496" w:themeColor="accent1" w:themeShade="BF"/>
        </w:rPr>
        <w:t>A</w:t>
      </w:r>
      <w:r w:rsidRPr="005753F8">
        <w:rPr>
          <w:rFonts w:ascii="Bookman Old Style" w:eastAsiaTheme="majorEastAsia" w:hAnsi="Bookman Old Style" w:cstheme="majorBidi"/>
          <w:b/>
          <w:bCs/>
          <w:i/>
          <w:iCs/>
          <w:color w:val="2F5496" w:themeColor="accent1" w:themeShade="BF"/>
        </w:rPr>
        <w:t>rt. 3, comma 5 bis)</w:t>
      </w:r>
    </w:p>
    <w:p w14:paraId="5C16A8EE" w14:textId="7B237414" w:rsidR="00772296" w:rsidRDefault="0044250F" w:rsidP="00772296">
      <w:pPr>
        <w:spacing w:after="0" w:line="240" w:lineRule="auto"/>
        <w:jc w:val="both"/>
        <w:rPr>
          <w:rFonts w:ascii="Bookman Old Style" w:hAnsi="Bookman Old Style"/>
        </w:rPr>
      </w:pPr>
      <w:r w:rsidRPr="0044250F">
        <w:rPr>
          <w:rFonts w:ascii="Bookman Old Style" w:hAnsi="Bookman Old Style"/>
          <w:b/>
          <w:bCs/>
        </w:rPr>
        <w:t>La norma</w:t>
      </w:r>
      <w:r w:rsidRPr="0044250F">
        <w:rPr>
          <w:rFonts w:ascii="Bookman Old Style" w:hAnsi="Bookman Old Style"/>
        </w:rPr>
        <w:t xml:space="preserve">, </w:t>
      </w:r>
      <w:r w:rsidRPr="0044250F">
        <w:rPr>
          <w:rFonts w:ascii="Bookman Old Style" w:hAnsi="Bookman Old Style"/>
          <w:b/>
          <w:bCs/>
        </w:rPr>
        <w:t>approvata in Senato</w:t>
      </w:r>
      <w:r w:rsidR="00772296" w:rsidRPr="0044250F">
        <w:rPr>
          <w:rFonts w:ascii="Bookman Old Style" w:hAnsi="Bookman Old Style"/>
        </w:rPr>
        <w:t>,</w:t>
      </w:r>
      <w:r w:rsidR="00772296" w:rsidRPr="0044250F">
        <w:rPr>
          <w:rFonts w:ascii="Bookman Old Style" w:hAnsi="Bookman Old Style"/>
          <w:b/>
          <w:bCs/>
        </w:rPr>
        <w:t xml:space="preserve"> </w:t>
      </w:r>
      <w:r w:rsidR="00772296" w:rsidRPr="0044250F">
        <w:rPr>
          <w:rFonts w:ascii="Bookman Old Style" w:hAnsi="Bookman Old Style"/>
        </w:rPr>
        <w:t>prevede che ai</w:t>
      </w:r>
      <w:r w:rsidR="00772296" w:rsidRPr="00C55198">
        <w:rPr>
          <w:rFonts w:ascii="Bookman Old Style" w:hAnsi="Bookman Old Style"/>
        </w:rPr>
        <w:t xml:space="preserve"> Comuni sede di capoluogo di città metropolitana con disavanzo pro capite superiore a euro 700 che sottoscrivono l'accordo per il ripiano del disavanzo fino al 31 gennaio 2023</w:t>
      </w:r>
      <w:r w:rsidR="008917E5" w:rsidRPr="00C55198">
        <w:rPr>
          <w:rFonts w:ascii="Bookman Old Style" w:hAnsi="Bookman Old Style"/>
        </w:rPr>
        <w:t xml:space="preserve"> (</w:t>
      </w:r>
      <w:r w:rsidR="00E05F02" w:rsidRPr="00C55198">
        <w:rPr>
          <w:rFonts w:ascii="Bookman Old Style" w:hAnsi="Bookman Old Style"/>
        </w:rPr>
        <w:t xml:space="preserve">ex </w:t>
      </w:r>
      <w:r w:rsidR="008917E5" w:rsidRPr="00C55198">
        <w:rPr>
          <w:rFonts w:ascii="Bookman Old Style" w:hAnsi="Bookman Old Style"/>
        </w:rPr>
        <w:t>co. 567 e ss. della legge di bilancio per il 2022)</w:t>
      </w:r>
      <w:r w:rsidR="00772296" w:rsidRPr="00C55198">
        <w:rPr>
          <w:rFonts w:ascii="Bookman Old Style" w:hAnsi="Bookman Old Style"/>
        </w:rPr>
        <w:t>, il contributo relativo all'annualità 2022 sia erogato successivamente all'erogazione dell'ultima annualità - prevista per il 2042 - con decreto del Min. Interno, di concerto col MEF, previa verifica della realizzazione di risorse proprie pari ad almeno un quarto del contributo complessivamente erogato.  Inoltre, si proroga dal 15 giugno 2022 al 15 marzo 2023 la possibilità per i medesimi comuni di proporre ai propri creditori la definizione transattiva del credito offrendo il pagamento di una somma variabile tra il 40 e l'80 per cento del debito in relazione all'anzianità dello stesso.</w:t>
      </w:r>
    </w:p>
    <w:p w14:paraId="357A884C" w14:textId="43667CE7" w:rsidR="00F731A4" w:rsidRDefault="00F731A4" w:rsidP="00772296">
      <w:pPr>
        <w:spacing w:after="0" w:line="240" w:lineRule="auto"/>
        <w:jc w:val="both"/>
        <w:rPr>
          <w:rFonts w:ascii="Bookman Old Style" w:hAnsi="Bookman Old Style"/>
        </w:rPr>
      </w:pPr>
    </w:p>
    <w:p w14:paraId="75DE8010" w14:textId="32E44651" w:rsidR="00F731A4" w:rsidRPr="005753F8" w:rsidRDefault="00F731A4" w:rsidP="00F731A4">
      <w:pPr>
        <w:pStyle w:val="Paragrafoelenco"/>
        <w:numPr>
          <w:ilvl w:val="0"/>
          <w:numId w:val="5"/>
        </w:numPr>
        <w:spacing w:after="0" w:line="240" w:lineRule="auto"/>
        <w:jc w:val="both"/>
        <w:rPr>
          <w:rFonts w:ascii="Bookman Old Style" w:eastAsiaTheme="majorEastAsia" w:hAnsi="Bookman Old Style" w:cstheme="majorBidi"/>
          <w:b/>
          <w:bCs/>
          <w:i/>
          <w:iCs/>
          <w:color w:val="2F5496" w:themeColor="accent1" w:themeShade="BF"/>
        </w:rPr>
      </w:pPr>
      <w:r w:rsidRPr="00C55198">
        <w:rPr>
          <w:rFonts w:ascii="Bookman Old Style" w:eastAsiaTheme="majorEastAsia" w:hAnsi="Bookman Old Style" w:cstheme="majorBidi"/>
          <w:b/>
          <w:bCs/>
          <w:color w:val="2F5496" w:themeColor="accent1" w:themeShade="BF"/>
        </w:rPr>
        <w:t xml:space="preserve">Estensione dei termini per rimodulazione dei Piani riequilibrio pluriennali dei Comuni </w:t>
      </w:r>
      <w:r w:rsidR="00D84887" w:rsidRPr="00C55198">
        <w:rPr>
          <w:rFonts w:ascii="Bookman Old Style" w:eastAsiaTheme="majorEastAsia" w:hAnsi="Bookman Old Style" w:cstheme="majorBidi"/>
          <w:b/>
          <w:bCs/>
          <w:color w:val="2F5496" w:themeColor="accent1" w:themeShade="BF"/>
        </w:rPr>
        <w:t xml:space="preserve">capoluogo di provincia </w:t>
      </w:r>
      <w:r w:rsidRPr="00C55198">
        <w:rPr>
          <w:rFonts w:ascii="Bookman Old Style" w:eastAsiaTheme="majorEastAsia" w:hAnsi="Bookman Old Style" w:cstheme="majorBidi"/>
          <w:b/>
          <w:bCs/>
          <w:color w:val="2F5496" w:themeColor="accent1" w:themeShade="BF"/>
        </w:rPr>
        <w:t xml:space="preserve">coinvolti in accordi di risanamento </w:t>
      </w:r>
      <w:r w:rsidRPr="005753F8">
        <w:rPr>
          <w:rFonts w:ascii="Bookman Old Style" w:eastAsiaTheme="majorEastAsia" w:hAnsi="Bookman Old Style" w:cstheme="majorBidi"/>
          <w:b/>
          <w:bCs/>
          <w:i/>
          <w:iCs/>
          <w:color w:val="2F5496" w:themeColor="accent1" w:themeShade="BF"/>
        </w:rPr>
        <w:t xml:space="preserve">(Art. 3, comma 10 </w:t>
      </w:r>
      <w:r w:rsidR="0029151F" w:rsidRPr="005753F8">
        <w:rPr>
          <w:rFonts w:ascii="Bookman Old Style" w:eastAsiaTheme="majorEastAsia" w:hAnsi="Bookman Old Style" w:cstheme="majorBidi"/>
          <w:b/>
          <w:bCs/>
          <w:i/>
          <w:iCs/>
          <w:color w:val="2F5496" w:themeColor="accent1" w:themeShade="BF"/>
        </w:rPr>
        <w:t>quater</w:t>
      </w:r>
      <w:r w:rsidRPr="005753F8">
        <w:rPr>
          <w:rFonts w:ascii="Bookman Old Style" w:eastAsiaTheme="majorEastAsia" w:hAnsi="Bookman Old Style" w:cstheme="majorBidi"/>
          <w:b/>
          <w:bCs/>
          <w:i/>
          <w:iCs/>
          <w:color w:val="2F5496" w:themeColor="accent1" w:themeShade="BF"/>
        </w:rPr>
        <w:t>)</w:t>
      </w:r>
    </w:p>
    <w:p w14:paraId="73E3CB30" w14:textId="357F38B8" w:rsidR="00F731A4" w:rsidRPr="00544A62" w:rsidRDefault="004422F7" w:rsidP="00F731A4">
      <w:pPr>
        <w:spacing w:after="0" w:line="240" w:lineRule="auto"/>
        <w:jc w:val="both"/>
        <w:rPr>
          <w:rFonts w:ascii="Bookman Old Style" w:hAnsi="Bookman Old Style"/>
        </w:rPr>
      </w:pPr>
      <w:r w:rsidRPr="0044250F">
        <w:rPr>
          <w:rFonts w:ascii="Bookman Old Style" w:hAnsi="Bookman Old Style"/>
          <w:b/>
          <w:bCs/>
        </w:rPr>
        <w:t>La norma</w:t>
      </w:r>
      <w:r w:rsidRPr="0044250F">
        <w:rPr>
          <w:rFonts w:ascii="Bookman Old Style" w:hAnsi="Bookman Old Style"/>
        </w:rPr>
        <w:t xml:space="preserve">, </w:t>
      </w:r>
      <w:r w:rsidRPr="0044250F">
        <w:rPr>
          <w:rFonts w:ascii="Bookman Old Style" w:hAnsi="Bookman Old Style"/>
          <w:b/>
          <w:bCs/>
        </w:rPr>
        <w:t xml:space="preserve">approvata in Senato </w:t>
      </w:r>
      <w:r w:rsidR="23005EDE" w:rsidRPr="00C55198">
        <w:rPr>
          <w:rFonts w:ascii="Bookman Old Style" w:hAnsi="Bookman Old Style"/>
          <w:b/>
          <w:bCs/>
        </w:rPr>
        <w:t>e richiest</w:t>
      </w:r>
      <w:r>
        <w:rPr>
          <w:rFonts w:ascii="Bookman Old Style" w:hAnsi="Bookman Old Style"/>
          <w:b/>
          <w:bCs/>
        </w:rPr>
        <w:t>a</w:t>
      </w:r>
      <w:r w:rsidR="23005EDE" w:rsidRPr="00C55198">
        <w:rPr>
          <w:rFonts w:ascii="Bookman Old Style" w:hAnsi="Bookman Old Style"/>
          <w:b/>
          <w:bCs/>
        </w:rPr>
        <w:t xml:space="preserve"> dall’Anci</w:t>
      </w:r>
      <w:r w:rsidR="43BB5A10" w:rsidRPr="00C55198">
        <w:rPr>
          <w:rFonts w:ascii="Bookman Old Style" w:hAnsi="Bookman Old Style"/>
        </w:rPr>
        <w:t>,</w:t>
      </w:r>
      <w:r w:rsidR="23005EDE" w:rsidRPr="00C55198">
        <w:rPr>
          <w:rFonts w:ascii="Bookman Old Style" w:hAnsi="Bookman Old Style"/>
        </w:rPr>
        <w:t xml:space="preserve"> prevede l’estensione dal 31 dicembre 2022 al 31 marzo 2023 </w:t>
      </w:r>
      <w:r w:rsidR="2A7C8BB2" w:rsidRPr="00C55198">
        <w:rPr>
          <w:rFonts w:ascii="Bookman Old Style" w:hAnsi="Bookman Old Style"/>
        </w:rPr>
        <w:t xml:space="preserve">del termine utile alla </w:t>
      </w:r>
      <w:r w:rsidR="23005EDE" w:rsidRPr="00C55198">
        <w:rPr>
          <w:rFonts w:ascii="Bookman Old Style" w:hAnsi="Bookman Old Style"/>
        </w:rPr>
        <w:t xml:space="preserve">rimodulazione dei piani </w:t>
      </w:r>
      <w:r w:rsidR="652F3915" w:rsidRPr="00C55198">
        <w:rPr>
          <w:rFonts w:ascii="Bookman Old Style" w:hAnsi="Bookman Old Style"/>
        </w:rPr>
        <w:t xml:space="preserve">di </w:t>
      </w:r>
      <w:r w:rsidR="23005EDE" w:rsidRPr="00C55198">
        <w:rPr>
          <w:rFonts w:ascii="Bookman Old Style" w:hAnsi="Bookman Old Style"/>
        </w:rPr>
        <w:t>riequilibrio pluriennali dei Comuni coinvolti in accordi di risanamento</w:t>
      </w:r>
      <w:r w:rsidR="00F43A01" w:rsidRPr="00C55198">
        <w:rPr>
          <w:rFonts w:ascii="Bookman Old Style" w:hAnsi="Bookman Old Style"/>
        </w:rPr>
        <w:t xml:space="preserve">, al fine di permettere </w:t>
      </w:r>
      <w:r w:rsidR="000D1ACF" w:rsidRPr="00C55198">
        <w:rPr>
          <w:rFonts w:ascii="Bookman Old Style" w:hAnsi="Bookman Old Style"/>
        </w:rPr>
        <w:t xml:space="preserve">l’ordinata conclusione delle istruttorie </w:t>
      </w:r>
      <w:r w:rsidR="00595411" w:rsidRPr="00C55198">
        <w:rPr>
          <w:rFonts w:ascii="Bookman Old Style" w:hAnsi="Bookman Old Style"/>
        </w:rPr>
        <w:t xml:space="preserve">di accordo </w:t>
      </w:r>
      <w:r w:rsidR="000D1ACF" w:rsidRPr="00C55198">
        <w:rPr>
          <w:rFonts w:ascii="Bookman Old Style" w:hAnsi="Bookman Old Style"/>
        </w:rPr>
        <w:t>ancora in corso al 31 dicembre scorso</w:t>
      </w:r>
      <w:r w:rsidR="23005EDE" w:rsidRPr="00C55198">
        <w:rPr>
          <w:rFonts w:ascii="Bookman Old Style" w:hAnsi="Bookman Old Style"/>
        </w:rPr>
        <w:t>.</w:t>
      </w:r>
    </w:p>
    <w:p w14:paraId="04F6E781" w14:textId="77777777" w:rsidR="00F731A4" w:rsidRPr="00544A62" w:rsidRDefault="00F731A4" w:rsidP="00F731A4">
      <w:pPr>
        <w:spacing w:after="0" w:line="240" w:lineRule="auto"/>
        <w:jc w:val="both"/>
        <w:rPr>
          <w:rFonts w:ascii="Bookman Old Style" w:hAnsi="Bookman Old Style"/>
        </w:rPr>
      </w:pPr>
    </w:p>
    <w:p w14:paraId="1276EC24" w14:textId="77777777" w:rsidR="57FA8FA5" w:rsidRPr="005753F8" w:rsidRDefault="57FA8FA5" w:rsidP="4D11C804">
      <w:pPr>
        <w:pStyle w:val="Paragrafoelenco"/>
        <w:numPr>
          <w:ilvl w:val="0"/>
          <w:numId w:val="5"/>
        </w:numPr>
        <w:spacing w:after="0" w:line="240" w:lineRule="auto"/>
        <w:jc w:val="both"/>
        <w:rPr>
          <w:rFonts w:ascii="Bookman Old Style" w:eastAsiaTheme="majorEastAsia" w:hAnsi="Bookman Old Style" w:cstheme="majorBidi"/>
          <w:b/>
          <w:bCs/>
          <w:i/>
          <w:iCs/>
          <w:color w:val="2F5496" w:themeColor="accent1" w:themeShade="BF"/>
        </w:rPr>
      </w:pPr>
      <w:r w:rsidRPr="00C55198">
        <w:rPr>
          <w:rFonts w:ascii="Bookman Old Style" w:eastAsiaTheme="majorEastAsia" w:hAnsi="Bookman Old Style" w:cstheme="majorBidi"/>
          <w:b/>
          <w:bCs/>
          <w:color w:val="2F5496" w:themeColor="accent1" w:themeShade="BF"/>
        </w:rPr>
        <w:t xml:space="preserve">Proroga della facoltà di annullamento automatico dei debiti inferiori a 1.000 euro per gli enti diversi dalle amministrazioni statali, dalle agenzie fiscali e </w:t>
      </w:r>
      <w:r w:rsidRPr="004D4D26">
        <w:rPr>
          <w:rFonts w:ascii="Bookman Old Style" w:eastAsiaTheme="majorEastAsia" w:hAnsi="Bookman Old Style" w:cstheme="majorBidi"/>
          <w:b/>
          <w:bCs/>
          <w:color w:val="2F5496" w:themeColor="accent1" w:themeShade="BF"/>
        </w:rPr>
        <w:t xml:space="preserve">dagli enti pubblici previdenziali </w:t>
      </w:r>
      <w:r w:rsidRPr="005753F8">
        <w:rPr>
          <w:rFonts w:ascii="Bookman Old Style" w:eastAsiaTheme="majorEastAsia" w:hAnsi="Bookman Old Style" w:cstheme="majorBidi"/>
          <w:b/>
          <w:bCs/>
          <w:i/>
          <w:iCs/>
          <w:color w:val="2F5496" w:themeColor="accent1" w:themeShade="BF"/>
        </w:rPr>
        <w:t>(Art. 3 bis)</w:t>
      </w:r>
    </w:p>
    <w:p w14:paraId="59D1E376" w14:textId="651576B8" w:rsidR="219FAD06" w:rsidRPr="00C55198" w:rsidRDefault="219FAD06" w:rsidP="004D4D26">
      <w:pPr>
        <w:spacing w:after="0" w:line="240" w:lineRule="auto"/>
        <w:jc w:val="both"/>
        <w:rPr>
          <w:rFonts w:ascii="Bookman Old Style" w:eastAsiaTheme="majorEastAsia" w:hAnsi="Bookman Old Style" w:cstheme="majorBidi"/>
          <w:i/>
          <w:iCs/>
          <w:u w:val="single"/>
        </w:rPr>
      </w:pPr>
      <w:r w:rsidRPr="00C55198">
        <w:rPr>
          <w:rFonts w:ascii="Bookman Old Style" w:eastAsiaTheme="majorEastAsia" w:hAnsi="Bookman Old Style" w:cstheme="majorBidi"/>
          <w:i/>
          <w:iCs/>
          <w:u w:val="single"/>
        </w:rPr>
        <w:t>Stralcio delle cartelle fino a mille euro</w:t>
      </w:r>
    </w:p>
    <w:p w14:paraId="7342035E" w14:textId="6CAFCCFF" w:rsidR="57FA8FA5" w:rsidRPr="00C55198" w:rsidRDefault="00CC6585" w:rsidP="4D11C804">
      <w:pPr>
        <w:spacing w:after="40"/>
        <w:jc w:val="both"/>
        <w:rPr>
          <w:rFonts w:ascii="Bookman Old Style" w:hAnsi="Bookman Old Style"/>
          <w:color w:val="000000" w:themeColor="text1"/>
        </w:rPr>
      </w:pPr>
      <w:r w:rsidRPr="0044250F">
        <w:rPr>
          <w:rFonts w:ascii="Bookman Old Style" w:hAnsi="Bookman Old Style"/>
          <w:b/>
          <w:bCs/>
        </w:rPr>
        <w:t>La norma</w:t>
      </w:r>
      <w:r w:rsidRPr="0044250F">
        <w:rPr>
          <w:rFonts w:ascii="Bookman Old Style" w:hAnsi="Bookman Old Style"/>
        </w:rPr>
        <w:t xml:space="preserve">, </w:t>
      </w:r>
      <w:r w:rsidRPr="0044250F">
        <w:rPr>
          <w:rFonts w:ascii="Bookman Old Style" w:hAnsi="Bookman Old Style"/>
          <w:b/>
          <w:bCs/>
        </w:rPr>
        <w:t>approvata in Senato</w:t>
      </w:r>
      <w:r w:rsidR="57FA8FA5" w:rsidRPr="00C55198">
        <w:rPr>
          <w:rFonts w:ascii="Bookman Old Style" w:hAnsi="Bookman Old Style"/>
        </w:rPr>
        <w:t xml:space="preserve">, </w:t>
      </w:r>
      <w:r w:rsidR="007C1D9F" w:rsidRPr="00C55198">
        <w:rPr>
          <w:rFonts w:ascii="Bookman Old Style" w:hAnsi="Bookman Old Style"/>
        </w:rPr>
        <w:t xml:space="preserve">introduce </w:t>
      </w:r>
      <w:r w:rsidR="001668B7" w:rsidRPr="00C55198">
        <w:rPr>
          <w:rFonts w:ascii="Bookman Old Style" w:hAnsi="Bookman Old Style"/>
        </w:rPr>
        <w:t xml:space="preserve">i </w:t>
      </w:r>
      <w:r w:rsidR="007C1D9F" w:rsidRPr="00C55198">
        <w:rPr>
          <w:rFonts w:ascii="Bookman Old Style" w:hAnsi="Bookman Old Style"/>
        </w:rPr>
        <w:t xml:space="preserve">commi aggiuntivi </w:t>
      </w:r>
      <w:r w:rsidR="00B551CC" w:rsidRPr="00C55198">
        <w:rPr>
          <w:rFonts w:ascii="Bookman Old Style" w:hAnsi="Bookman Old Style"/>
        </w:rPr>
        <w:t xml:space="preserve">229-bis, -ter e -quater nella legge di bilancio 2023, stabilendo  </w:t>
      </w:r>
      <w:r w:rsidR="57FA8FA5" w:rsidRPr="00C55198">
        <w:rPr>
          <w:rFonts w:ascii="Bookman Old Style" w:hAnsi="Bookman Old Style"/>
        </w:rPr>
        <w:t xml:space="preserve">che </w:t>
      </w:r>
      <w:r w:rsidR="57FA8FA5" w:rsidRPr="00C55198">
        <w:rPr>
          <w:rFonts w:ascii="Bookman Old Style" w:eastAsia="Times New Roman" w:hAnsi="Bookman Old Style" w:cs="Times New Roman"/>
          <w:b/>
          <w:bCs/>
          <w:color w:val="000000" w:themeColor="text1"/>
          <w:lang w:eastAsia="it-IT"/>
        </w:rPr>
        <w:t xml:space="preserve">i Comuni e gli altri enti territoriali </w:t>
      </w:r>
      <w:r w:rsidR="57FA8FA5" w:rsidRPr="00C55198">
        <w:rPr>
          <w:rFonts w:ascii="Bookman Old Style" w:hAnsi="Bookman Old Style"/>
          <w:color w:val="000000" w:themeColor="text1"/>
        </w:rPr>
        <w:t xml:space="preserve">che, alla data del 31 gennaio 2023, non hanno adottato il provvedimento </w:t>
      </w:r>
      <w:r w:rsidR="004A6884" w:rsidRPr="00C55198">
        <w:rPr>
          <w:rFonts w:ascii="Bookman Old Style" w:hAnsi="Bookman Old Style"/>
          <w:color w:val="000000" w:themeColor="text1"/>
        </w:rPr>
        <w:t xml:space="preserve">di </w:t>
      </w:r>
      <w:r w:rsidR="004A6884" w:rsidRPr="00C55198">
        <w:rPr>
          <w:rFonts w:ascii="Bookman Old Style" w:hAnsi="Bookman Old Style"/>
          <w:b/>
          <w:bCs/>
          <w:color w:val="000000" w:themeColor="text1"/>
        </w:rPr>
        <w:t>diniego all</w:t>
      </w:r>
      <w:r w:rsidR="004A6884" w:rsidRPr="00C55198">
        <w:rPr>
          <w:rFonts w:ascii="Bookman Old Style" w:eastAsia="Times New Roman" w:hAnsi="Bookman Old Style" w:cs="Times New Roman"/>
          <w:b/>
          <w:bCs/>
          <w:color w:val="000000" w:themeColor="text1"/>
          <w:lang w:eastAsia="it-IT"/>
        </w:rPr>
        <w:t>’</w:t>
      </w:r>
      <w:r w:rsidR="57FA8FA5" w:rsidRPr="00C55198">
        <w:rPr>
          <w:rFonts w:ascii="Bookman Old Style" w:eastAsia="Times New Roman" w:hAnsi="Bookman Old Style" w:cs="Times New Roman"/>
          <w:b/>
          <w:bCs/>
          <w:color w:val="000000" w:themeColor="text1"/>
          <w:lang w:eastAsia="it-IT"/>
        </w:rPr>
        <w:t>applicazione</w:t>
      </w:r>
      <w:r w:rsidR="57FA8FA5" w:rsidRPr="00C55198">
        <w:rPr>
          <w:rFonts w:ascii="Bookman Old Style" w:eastAsia="Times New Roman" w:hAnsi="Bookman Old Style" w:cs="Times New Roman"/>
          <w:color w:val="000000" w:themeColor="text1"/>
          <w:lang w:eastAsia="it-IT"/>
        </w:rPr>
        <w:t xml:space="preserve"> dello stralcio parziale sui carichi di propria competenza</w:t>
      </w:r>
      <w:r w:rsidR="55E2A3E7" w:rsidRPr="00C55198">
        <w:rPr>
          <w:rFonts w:ascii="Bookman Old Style" w:eastAsia="Times New Roman" w:hAnsi="Bookman Old Style" w:cs="Times New Roman"/>
          <w:color w:val="000000" w:themeColor="text1"/>
          <w:lang w:eastAsia="it-IT"/>
        </w:rPr>
        <w:t>,</w:t>
      </w:r>
      <w:r w:rsidR="57FA8FA5" w:rsidRPr="00C55198">
        <w:rPr>
          <w:rFonts w:ascii="Bookman Old Style" w:hAnsi="Bookman Old Style"/>
          <w:color w:val="000000" w:themeColor="text1"/>
        </w:rPr>
        <w:t xml:space="preserve"> possono adottare tale provvedimento entro il 31 marzo 2023</w:t>
      </w:r>
      <w:r w:rsidR="3CD44C2D" w:rsidRPr="00C55198">
        <w:rPr>
          <w:rFonts w:ascii="Bookman Old Style" w:hAnsi="Bookman Old Style"/>
          <w:color w:val="000000" w:themeColor="text1"/>
        </w:rPr>
        <w:t>. Inoltre</w:t>
      </w:r>
      <w:r w:rsidR="57FA8FA5" w:rsidRPr="00C55198">
        <w:rPr>
          <w:rFonts w:ascii="Bookman Old Style" w:hAnsi="Bookman Old Style"/>
          <w:color w:val="000000" w:themeColor="text1"/>
        </w:rPr>
        <w:t>, entro la medesima data,</w:t>
      </w:r>
      <w:r w:rsidR="47E4A78A" w:rsidRPr="00C55198">
        <w:rPr>
          <w:rFonts w:ascii="Bookman Old Style" w:hAnsi="Bookman Old Style"/>
          <w:color w:val="000000" w:themeColor="text1"/>
        </w:rPr>
        <w:t xml:space="preserve"> è ammessa anche la </w:t>
      </w:r>
      <w:r w:rsidR="47E4A78A" w:rsidRPr="00C55198">
        <w:rPr>
          <w:rFonts w:ascii="Bookman Old Style" w:hAnsi="Bookman Old Style"/>
          <w:b/>
          <w:bCs/>
          <w:color w:val="000000" w:themeColor="text1"/>
        </w:rPr>
        <w:t>possibilità di recepire l’annullamento completo</w:t>
      </w:r>
      <w:r w:rsidR="47E4A78A" w:rsidRPr="00C55198">
        <w:rPr>
          <w:rFonts w:ascii="Bookman Old Style" w:hAnsi="Bookman Old Style"/>
          <w:color w:val="000000" w:themeColor="text1"/>
        </w:rPr>
        <w:t xml:space="preserve"> del debito</w:t>
      </w:r>
      <w:r w:rsidR="009228E0" w:rsidRPr="00C55198">
        <w:rPr>
          <w:rFonts w:ascii="Bookman Old Style" w:hAnsi="Bookman Old Style"/>
          <w:color w:val="000000" w:themeColor="text1"/>
        </w:rPr>
        <w:t xml:space="preserve"> </w:t>
      </w:r>
      <w:r w:rsidR="599304AE" w:rsidRPr="00C55198">
        <w:rPr>
          <w:rFonts w:ascii="Bookman Old Style" w:hAnsi="Bookman Old Style"/>
          <w:color w:val="000000" w:themeColor="text1"/>
        </w:rPr>
        <w:t xml:space="preserve">di importo residuo, fino a mille euro, comprensivo di capitale, interessi per ritardata iscrizione a ruolo e sanzioni, risultanti dai singoli carichi affidati all'agente della riscossione dal 1° gennaio 2000 al 31 dicembre 2015. </w:t>
      </w:r>
      <w:r w:rsidR="78F72AC1" w:rsidRPr="00C55198">
        <w:rPr>
          <w:rFonts w:ascii="Bookman Old Style" w:hAnsi="Bookman Old Style"/>
          <w:color w:val="000000" w:themeColor="text1"/>
        </w:rPr>
        <w:t>L'emendamento accolto al Senato, pertanto, equipara gli enti statali agli altri enti territoriali</w:t>
      </w:r>
      <w:r w:rsidR="3135798F" w:rsidRPr="00C55198">
        <w:rPr>
          <w:rFonts w:ascii="Bookman Old Style" w:hAnsi="Bookman Old Style"/>
          <w:color w:val="000000" w:themeColor="text1"/>
        </w:rPr>
        <w:t xml:space="preserve"> e ai Comuni</w:t>
      </w:r>
      <w:r w:rsidR="009228E0" w:rsidRPr="00C55198">
        <w:rPr>
          <w:rFonts w:ascii="Bookman Old Style" w:hAnsi="Bookman Old Style"/>
          <w:color w:val="000000" w:themeColor="text1"/>
        </w:rPr>
        <w:t xml:space="preserve"> in materia di </w:t>
      </w:r>
      <w:r w:rsidR="00822C71" w:rsidRPr="00C55198">
        <w:rPr>
          <w:rFonts w:ascii="Bookman Old Style" w:hAnsi="Bookman Old Style"/>
          <w:color w:val="000000" w:themeColor="text1"/>
        </w:rPr>
        <w:t>stralcio totale dei crediti in questione, limitata</w:t>
      </w:r>
      <w:r w:rsidR="00C86471" w:rsidRPr="00C55198">
        <w:rPr>
          <w:rFonts w:ascii="Bookman Old Style" w:hAnsi="Bookman Old Style"/>
          <w:color w:val="000000" w:themeColor="text1"/>
        </w:rPr>
        <w:t>mente agli enti che non abbiano già deliberato il diniego parziale</w:t>
      </w:r>
      <w:r w:rsidR="3135798F" w:rsidRPr="00C55198">
        <w:rPr>
          <w:rFonts w:ascii="Bookman Old Style" w:hAnsi="Bookman Old Style"/>
          <w:color w:val="000000" w:themeColor="text1"/>
        </w:rPr>
        <w:t>.</w:t>
      </w:r>
      <w:r w:rsidR="14B54EB3" w:rsidRPr="00C55198">
        <w:rPr>
          <w:rFonts w:ascii="Bookman Old Style" w:hAnsi="Bookman Old Style"/>
          <w:color w:val="000000" w:themeColor="text1"/>
        </w:rPr>
        <w:t xml:space="preserve"> </w:t>
      </w:r>
    </w:p>
    <w:p w14:paraId="3B8E913C" w14:textId="5E2E51AF" w:rsidR="0DDB05C3" w:rsidRPr="00C55198" w:rsidRDefault="0DDB05C3" w:rsidP="4D11C804">
      <w:pPr>
        <w:spacing w:after="40"/>
        <w:jc w:val="both"/>
        <w:rPr>
          <w:rFonts w:ascii="Bookman Old Style" w:hAnsi="Bookman Old Style"/>
          <w:color w:val="000000" w:themeColor="text1"/>
        </w:rPr>
      </w:pPr>
      <w:r w:rsidRPr="00C55198">
        <w:rPr>
          <w:rFonts w:ascii="Bookman Old Style" w:hAnsi="Bookman Old Style"/>
          <w:b/>
          <w:bCs/>
          <w:color w:val="000000" w:themeColor="text1"/>
        </w:rPr>
        <w:lastRenderedPageBreak/>
        <w:t>Le delibere</w:t>
      </w:r>
      <w:r w:rsidRPr="00C55198">
        <w:rPr>
          <w:rFonts w:ascii="Bookman Old Style" w:hAnsi="Bookman Old Style"/>
          <w:color w:val="000000" w:themeColor="text1"/>
        </w:rPr>
        <w:t xml:space="preserve"> di non adesione allo stralcio parziale e le delibere di </w:t>
      </w:r>
      <w:r w:rsidR="009E6601">
        <w:rPr>
          <w:rFonts w:ascii="Bookman Old Style" w:hAnsi="Bookman Old Style"/>
          <w:color w:val="000000" w:themeColor="text1"/>
        </w:rPr>
        <w:t xml:space="preserve">applicazione dello </w:t>
      </w:r>
      <w:r w:rsidRPr="00C55198">
        <w:rPr>
          <w:rFonts w:ascii="Bookman Old Style" w:hAnsi="Bookman Old Style"/>
          <w:color w:val="000000" w:themeColor="text1"/>
        </w:rPr>
        <w:t xml:space="preserve">stralcio totale vanno </w:t>
      </w:r>
      <w:r w:rsidRPr="00C55198">
        <w:rPr>
          <w:rFonts w:ascii="Bookman Old Style" w:hAnsi="Bookman Old Style"/>
          <w:b/>
          <w:bCs/>
          <w:color w:val="000000" w:themeColor="text1"/>
        </w:rPr>
        <w:t xml:space="preserve">trasmesse al </w:t>
      </w:r>
      <w:r w:rsidR="0018444F" w:rsidRPr="00C55198">
        <w:rPr>
          <w:rFonts w:ascii="Bookman Old Style" w:hAnsi="Bookman Old Style"/>
          <w:b/>
          <w:bCs/>
          <w:color w:val="000000" w:themeColor="text1"/>
        </w:rPr>
        <w:t>Mef (</w:t>
      </w:r>
      <w:r w:rsidRPr="00C55198">
        <w:rPr>
          <w:rFonts w:ascii="Bookman Old Style" w:hAnsi="Bookman Old Style"/>
          <w:b/>
          <w:bCs/>
          <w:color w:val="000000" w:themeColor="text1"/>
        </w:rPr>
        <w:t>Dipartimento delle Finanze</w:t>
      </w:r>
      <w:r w:rsidR="0018444F" w:rsidRPr="00C55198">
        <w:rPr>
          <w:rFonts w:ascii="Bookman Old Style" w:hAnsi="Bookman Old Style"/>
          <w:b/>
          <w:bCs/>
          <w:color w:val="000000" w:themeColor="text1"/>
        </w:rPr>
        <w:t>)</w:t>
      </w:r>
      <w:r w:rsidRPr="00C55198">
        <w:rPr>
          <w:rFonts w:ascii="Bookman Old Style" w:hAnsi="Bookman Old Style"/>
          <w:b/>
          <w:bCs/>
          <w:color w:val="000000" w:themeColor="text1"/>
        </w:rPr>
        <w:t xml:space="preserve"> entro il 30 aprile ai soli fini statist</w:t>
      </w:r>
      <w:r w:rsidR="60E47DB5" w:rsidRPr="00C55198">
        <w:rPr>
          <w:rFonts w:ascii="Bookman Old Style" w:hAnsi="Bookman Old Style"/>
          <w:b/>
          <w:bCs/>
          <w:color w:val="000000" w:themeColor="text1"/>
        </w:rPr>
        <w:t>ici</w:t>
      </w:r>
      <w:r w:rsidR="60E47DB5" w:rsidRPr="00C55198">
        <w:rPr>
          <w:rFonts w:ascii="Bookman Old Style" w:hAnsi="Bookman Old Style"/>
          <w:color w:val="000000" w:themeColor="text1"/>
        </w:rPr>
        <w:t>, senza che tale pubblicazione abbia effetti costitutivi sull’efficacia della delibera. La delibera comunale, infatti, produce effetti con la sola pubblicazione sul sito del Comune.</w:t>
      </w:r>
      <w:r w:rsidR="714B8B8C" w:rsidRPr="00C55198">
        <w:rPr>
          <w:rFonts w:ascii="Bookman Old Style" w:hAnsi="Bookman Old Style"/>
          <w:color w:val="000000" w:themeColor="text1"/>
        </w:rPr>
        <w:t xml:space="preserve"> In conseguenza di tale modifica la data convenzionale di efficacia ello stralcio è differita al 30 aprile 2023 e fino a tale data sono sospese tutte le attività di riscossione che afferiscono ai </w:t>
      </w:r>
      <w:r w:rsidR="00845A4A" w:rsidRPr="00C55198">
        <w:rPr>
          <w:rFonts w:ascii="Bookman Old Style" w:hAnsi="Bookman Old Style"/>
          <w:color w:val="000000" w:themeColor="text1"/>
        </w:rPr>
        <w:t xml:space="preserve">crediti minori </w:t>
      </w:r>
      <w:r w:rsidR="714B8B8C" w:rsidRPr="00C55198">
        <w:rPr>
          <w:rFonts w:ascii="Bookman Old Style" w:hAnsi="Bookman Old Style"/>
          <w:color w:val="000000" w:themeColor="text1"/>
        </w:rPr>
        <w:t>o</w:t>
      </w:r>
      <w:r w:rsidR="127D4B16" w:rsidRPr="00C55198">
        <w:rPr>
          <w:rFonts w:ascii="Bookman Old Style" w:hAnsi="Bookman Old Style"/>
          <w:color w:val="000000" w:themeColor="text1"/>
        </w:rPr>
        <w:t xml:space="preserve">ggetto di annullamento. </w:t>
      </w:r>
    </w:p>
    <w:p w14:paraId="12FF4F1F" w14:textId="55B9618F" w:rsidR="332FF0D4" w:rsidRPr="004D4D26" w:rsidRDefault="332FF0D4" w:rsidP="004D4D26">
      <w:pPr>
        <w:spacing w:after="40"/>
        <w:jc w:val="both"/>
        <w:rPr>
          <w:rFonts w:ascii="Bookman Old Style" w:eastAsia="Bookman Old Style" w:hAnsi="Bookman Old Style" w:cs="Bookman Old Style"/>
          <w:i/>
          <w:iCs/>
          <w:u w:val="single"/>
        </w:rPr>
      </w:pPr>
      <w:r w:rsidRPr="004D4D26">
        <w:rPr>
          <w:rFonts w:ascii="Bookman Old Style" w:eastAsia="Bookman Old Style" w:hAnsi="Bookman Old Style" w:cs="Bookman Old Style"/>
          <w:i/>
          <w:iCs/>
          <w:u w:val="single"/>
        </w:rPr>
        <w:t>Definizione agevolata delle controversie tributarie</w:t>
      </w:r>
      <w:r w:rsidRPr="004D4D26">
        <w:rPr>
          <w:rFonts w:ascii="Bookman Old Style" w:eastAsia="Bookman Old Style" w:hAnsi="Bookman Old Style" w:cs="Bookman Old Style"/>
          <w:i/>
          <w:iCs/>
        </w:rPr>
        <w:t xml:space="preserve"> </w:t>
      </w:r>
    </w:p>
    <w:p w14:paraId="2EAE7563" w14:textId="3D6B9C6B" w:rsidR="00BB595D" w:rsidRDefault="00E35F0C" w:rsidP="4D11C804">
      <w:pPr>
        <w:spacing w:after="40"/>
        <w:jc w:val="both"/>
        <w:rPr>
          <w:rFonts w:ascii="Bookman Old Style" w:eastAsia="Bookman Old Style" w:hAnsi="Bookman Old Style" w:cs="Bookman Old Style"/>
        </w:rPr>
      </w:pPr>
      <w:r>
        <w:rPr>
          <w:rFonts w:ascii="Bookman Old Style" w:eastAsia="Bookman Old Style" w:hAnsi="Bookman Old Style" w:cs="Bookman Old Style"/>
        </w:rPr>
        <w:t>La norma in commento, inoltre (</w:t>
      </w:r>
      <w:r w:rsidR="332FF0D4" w:rsidRPr="4D11C804">
        <w:rPr>
          <w:rFonts w:ascii="Bookman Old Style" w:eastAsia="Bookman Old Style" w:hAnsi="Bookman Old Style" w:cs="Bookman Old Style"/>
        </w:rPr>
        <w:t>lett</w:t>
      </w:r>
      <w:r w:rsidR="00F80DBC">
        <w:rPr>
          <w:rFonts w:ascii="Bookman Old Style" w:eastAsia="Bookman Old Style" w:hAnsi="Bookman Old Style" w:cs="Bookman Old Style"/>
        </w:rPr>
        <w:t xml:space="preserve">ere </w:t>
      </w:r>
      <w:r w:rsidR="332FF0D4" w:rsidRPr="4D11C804">
        <w:rPr>
          <w:rFonts w:ascii="Bookman Old Style" w:eastAsia="Bookman Old Style" w:hAnsi="Bookman Old Style" w:cs="Bookman Old Style"/>
        </w:rPr>
        <w:t xml:space="preserve">a </w:t>
      </w:r>
      <w:r w:rsidR="00F80DBC">
        <w:rPr>
          <w:rFonts w:ascii="Bookman Old Style" w:eastAsia="Bookman Old Style" w:hAnsi="Bookman Old Style" w:cs="Bookman Old Style"/>
        </w:rPr>
        <w:t xml:space="preserve">e b </w:t>
      </w:r>
      <w:r w:rsidR="332FF0D4" w:rsidRPr="4D11C804">
        <w:rPr>
          <w:rFonts w:ascii="Bookman Old Style" w:eastAsia="Bookman Old Style" w:hAnsi="Bookman Old Style" w:cs="Bookman Old Style"/>
        </w:rPr>
        <w:t>del comma 1</w:t>
      </w:r>
      <w:r>
        <w:rPr>
          <w:rFonts w:ascii="Bookman Old Style" w:eastAsia="Bookman Old Style" w:hAnsi="Bookman Old Style" w:cs="Bookman Old Style"/>
        </w:rPr>
        <w:t>),</w:t>
      </w:r>
      <w:r w:rsidR="332FF0D4" w:rsidRPr="4D11C804">
        <w:rPr>
          <w:rFonts w:ascii="Bookman Old Style" w:eastAsia="Bookman Old Style" w:hAnsi="Bookman Old Style" w:cs="Bookman Old Style"/>
        </w:rPr>
        <w:t xml:space="preserve"> integra la disciplina della definizione agevolata delle controversie tributarie, introdotta dall’articolo 1, commi 186-205 della legge n. 197 del 2022 (legge di bilancio 2023) al fine di precisarne le modalità applicative con riferimento alle controversie tributarie degli enti territoriali.</w:t>
      </w:r>
      <w:r w:rsidR="11319D46" w:rsidRPr="4D11C804">
        <w:rPr>
          <w:rFonts w:ascii="Bookman Old Style" w:eastAsia="Bookman Old Style" w:hAnsi="Bookman Old Style" w:cs="Bookman Old Style"/>
        </w:rPr>
        <w:t xml:space="preserve"> </w:t>
      </w:r>
      <w:r w:rsidR="0010470E">
        <w:rPr>
          <w:rFonts w:ascii="Bookman Old Style" w:eastAsia="Bookman Old Style" w:hAnsi="Bookman Old Style" w:cs="Bookman Old Style"/>
        </w:rPr>
        <w:t xml:space="preserve">Le norme intervengono in particolare sull’obbligo di pubblicazione </w:t>
      </w:r>
      <w:r w:rsidR="00AA50D8">
        <w:rPr>
          <w:rFonts w:ascii="Bookman Old Style" w:eastAsia="Bookman Old Style" w:hAnsi="Bookman Old Style" w:cs="Bookman Old Style"/>
        </w:rPr>
        <w:t xml:space="preserve">della delibera </w:t>
      </w:r>
      <w:r w:rsidR="0010470E">
        <w:rPr>
          <w:rFonts w:ascii="Bookman Old Style" w:eastAsia="Bookman Old Style" w:hAnsi="Bookman Old Style" w:cs="Bookman Old Style"/>
        </w:rPr>
        <w:t>sul sito Internet dell’en</w:t>
      </w:r>
      <w:r w:rsidR="00AA50D8">
        <w:rPr>
          <w:rFonts w:ascii="Bookman Old Style" w:eastAsia="Bookman Old Style" w:hAnsi="Bookman Old Style" w:cs="Bookman Old Style"/>
        </w:rPr>
        <w:t xml:space="preserve">te ai fini della sua efficacia e precisano alcuni riferimenti </w:t>
      </w:r>
      <w:r w:rsidR="001E7284">
        <w:rPr>
          <w:rFonts w:ascii="Bookman Old Style" w:eastAsia="Bookman Old Style" w:hAnsi="Bookman Old Style" w:cs="Bookman Old Style"/>
        </w:rPr>
        <w:t>normativi in precedenza poco chiari.</w:t>
      </w:r>
    </w:p>
    <w:p w14:paraId="5EA7AC49" w14:textId="37B8B406" w:rsidR="11319D46" w:rsidRPr="004D4D26" w:rsidRDefault="11319D46" w:rsidP="4D11C804">
      <w:pPr>
        <w:spacing w:after="0" w:line="240" w:lineRule="auto"/>
        <w:jc w:val="both"/>
        <w:rPr>
          <w:rFonts w:ascii="Bookman Old Style" w:eastAsia="Bookman Old Style" w:hAnsi="Bookman Old Style" w:cs="Bookman Old Style"/>
          <w:i/>
          <w:iCs/>
          <w:u w:val="single"/>
        </w:rPr>
      </w:pPr>
      <w:r w:rsidRPr="004D4D26">
        <w:rPr>
          <w:rFonts w:ascii="Bookman Old Style" w:eastAsia="Bookman Old Style" w:hAnsi="Bookman Old Style" w:cs="Bookman Old Style"/>
          <w:i/>
          <w:iCs/>
          <w:u w:val="single"/>
        </w:rPr>
        <w:t>Adesione agli strumenti deflativi del contenzioso tributario</w:t>
      </w:r>
    </w:p>
    <w:p w14:paraId="32123434" w14:textId="645C881D" w:rsidR="680DA5E5" w:rsidRDefault="680DA5E5" w:rsidP="004D4D26">
      <w:pPr>
        <w:spacing w:after="0" w:line="240" w:lineRule="auto"/>
        <w:jc w:val="both"/>
        <w:rPr>
          <w:rFonts w:ascii="Bookman Old Style" w:eastAsia="Bookman Old Style" w:hAnsi="Bookman Old Style" w:cs="Bookman Old Style"/>
        </w:rPr>
      </w:pPr>
      <w:r w:rsidRPr="4D11C804">
        <w:rPr>
          <w:rFonts w:ascii="Bookman Old Style" w:eastAsia="Bookman Old Style" w:hAnsi="Bookman Old Style" w:cs="Bookman Old Style"/>
        </w:rPr>
        <w:t>Con la lettera c) del medesimo comma si consente a ciascun ente territoriale, con le forme previste dalla legislazione vigente per l'adozione dei propri atti, l’applicazione delle disposizioni relative a</w:t>
      </w:r>
      <w:r w:rsidR="204BF4B3" w:rsidRPr="4D11C804">
        <w:rPr>
          <w:rFonts w:ascii="Bookman Old Style" w:eastAsia="Bookman Old Style" w:hAnsi="Bookman Old Style" w:cs="Bookman Old Style"/>
        </w:rPr>
        <w:t xml:space="preserve">gli </w:t>
      </w:r>
      <w:r w:rsidRPr="4D11C804">
        <w:rPr>
          <w:rFonts w:ascii="Bookman Old Style" w:eastAsia="Bookman Old Style" w:hAnsi="Bookman Old Style" w:cs="Bookman Old Style"/>
        </w:rPr>
        <w:t xml:space="preserve">istituti </w:t>
      </w:r>
      <w:r w:rsidR="7F9E674B" w:rsidRPr="4D11C804">
        <w:rPr>
          <w:rFonts w:ascii="Bookman Old Style" w:eastAsia="Bookman Old Style" w:hAnsi="Bookman Old Style" w:cs="Bookman Old Style"/>
        </w:rPr>
        <w:t xml:space="preserve">della </w:t>
      </w:r>
      <w:r w:rsidRPr="4D11C804">
        <w:rPr>
          <w:rFonts w:ascii="Bookman Old Style" w:eastAsia="Bookman Old Style" w:hAnsi="Bookman Old Style" w:cs="Bookman Old Style"/>
        </w:rPr>
        <w:t xml:space="preserve">conciliazione agevolata delle controversie, </w:t>
      </w:r>
      <w:r w:rsidR="3B1B6AE2" w:rsidRPr="4D11C804">
        <w:rPr>
          <w:rFonts w:ascii="Bookman Old Style" w:eastAsia="Bookman Old Style" w:hAnsi="Bookman Old Style" w:cs="Bookman Old Style"/>
        </w:rPr>
        <w:t xml:space="preserve">della </w:t>
      </w:r>
      <w:r w:rsidRPr="4D11C804">
        <w:rPr>
          <w:rFonts w:ascii="Bookman Old Style" w:eastAsia="Bookman Old Style" w:hAnsi="Bookman Old Style" w:cs="Bookman Old Style"/>
        </w:rPr>
        <w:t>rinuncia agevolata dei giudizi in Cassazione</w:t>
      </w:r>
      <w:r w:rsidR="35A38240" w:rsidRPr="4D11C804">
        <w:rPr>
          <w:rFonts w:ascii="Bookman Old Style" w:eastAsia="Bookman Old Style" w:hAnsi="Bookman Old Style" w:cs="Bookman Old Style"/>
        </w:rPr>
        <w:t xml:space="preserve"> e della</w:t>
      </w:r>
      <w:r w:rsidRPr="4D11C804">
        <w:rPr>
          <w:rFonts w:ascii="Bookman Old Style" w:eastAsia="Bookman Old Style" w:hAnsi="Bookman Old Style" w:cs="Bookman Old Style"/>
        </w:rPr>
        <w:t xml:space="preserve"> regolarizzazione degli omessi pagamenti di rate</w:t>
      </w:r>
      <w:r w:rsidR="00C422B8">
        <w:rPr>
          <w:rFonts w:ascii="Bookman Old Style" w:eastAsia="Bookman Old Style" w:hAnsi="Bookman Old Style" w:cs="Bookman Old Style"/>
        </w:rPr>
        <w:t xml:space="preserve"> (</w:t>
      </w:r>
      <w:r w:rsidRPr="4D11C804">
        <w:rPr>
          <w:rFonts w:ascii="Bookman Old Style" w:eastAsia="Bookman Old Style" w:hAnsi="Bookman Old Style" w:cs="Bookman Old Style"/>
        </w:rPr>
        <w:t xml:space="preserve">commi da 206 a 221 della legge di bilancio 2023) alle controversie in cui è parte il medesimo ente o un suo ente strumentale, in alternativa alla definizione agevolata delle controversie (di cui ai commi da 186 a 204). </w:t>
      </w:r>
      <w:r w:rsidR="29F0F4ED" w:rsidRPr="4D11C804">
        <w:rPr>
          <w:rFonts w:ascii="Bookman Old Style" w:eastAsia="Bookman Old Style" w:hAnsi="Bookman Old Style" w:cs="Bookman Old Style"/>
        </w:rPr>
        <w:t>La delibera dovrà essere approvata entro il 31 marzo 2023.</w:t>
      </w:r>
    </w:p>
    <w:p w14:paraId="1AE10BC9" w14:textId="54236348" w:rsidR="680DA5E5" w:rsidRDefault="680DA5E5" w:rsidP="4D11C804">
      <w:pPr>
        <w:spacing w:after="0" w:line="240" w:lineRule="auto"/>
        <w:jc w:val="both"/>
        <w:rPr>
          <w:rFonts w:ascii="Bookman Old Style" w:eastAsia="Bookman Old Style" w:hAnsi="Bookman Old Style" w:cs="Bookman Old Style"/>
        </w:rPr>
      </w:pPr>
      <w:r w:rsidRPr="4D11C804">
        <w:rPr>
          <w:rFonts w:ascii="Bookman Old Style" w:eastAsia="Bookman Old Style" w:hAnsi="Bookman Old Style" w:cs="Bookman Old Style"/>
        </w:rPr>
        <w:t xml:space="preserve">Analogamente a quanto disposto </w:t>
      </w:r>
      <w:r w:rsidR="009E6601">
        <w:rPr>
          <w:rFonts w:ascii="Bookman Old Style" w:eastAsia="Bookman Old Style" w:hAnsi="Bookman Old Style" w:cs="Bookman Old Style"/>
        </w:rPr>
        <w:t xml:space="preserve">per i precedenti istituti, </w:t>
      </w:r>
      <w:r w:rsidRPr="4D11C804">
        <w:rPr>
          <w:rFonts w:ascii="Bookman Old Style" w:eastAsia="Bookman Old Style" w:hAnsi="Bookman Old Style" w:cs="Bookman Old Style"/>
        </w:rPr>
        <w:t>in deroga alla disciplina ordinaria dell’efficacia della pubblicazione degli atti degli enti locali in materia tributaria, i provvedimenti con cui si dispone tale applica</w:t>
      </w:r>
      <w:r w:rsidR="00E70ED9">
        <w:rPr>
          <w:rFonts w:ascii="Bookman Old Style" w:eastAsia="Bookman Old Style" w:hAnsi="Bookman Old Style" w:cs="Bookman Old Style"/>
        </w:rPr>
        <w:t>z</w:t>
      </w:r>
      <w:r w:rsidRPr="4D11C804">
        <w:rPr>
          <w:rFonts w:ascii="Bookman Old Style" w:eastAsia="Bookman Old Style" w:hAnsi="Bookman Old Style" w:cs="Bookman Old Style"/>
        </w:rPr>
        <w:t>ione acquistano efficacia con la pubblicazione nel sito internet istituzionale dell'ente creditore e sono trasmessi al M</w:t>
      </w:r>
      <w:r w:rsidR="00C9736A">
        <w:rPr>
          <w:rFonts w:ascii="Bookman Old Style" w:eastAsia="Bookman Old Style" w:hAnsi="Bookman Old Style" w:cs="Bookman Old Style"/>
        </w:rPr>
        <w:t>ef (</w:t>
      </w:r>
      <w:r w:rsidRPr="4D11C804">
        <w:rPr>
          <w:rFonts w:ascii="Bookman Old Style" w:eastAsia="Bookman Old Style" w:hAnsi="Bookman Old Style" w:cs="Bookman Old Style"/>
        </w:rPr>
        <w:t>Dipartimento delle Finanze</w:t>
      </w:r>
      <w:r w:rsidR="00C9736A">
        <w:rPr>
          <w:rFonts w:ascii="Bookman Old Style" w:eastAsia="Bookman Old Style" w:hAnsi="Bookman Old Style" w:cs="Bookman Old Style"/>
        </w:rPr>
        <w:t>)</w:t>
      </w:r>
      <w:r w:rsidRPr="4D11C804">
        <w:rPr>
          <w:rFonts w:ascii="Bookman Old Style" w:eastAsia="Bookman Old Style" w:hAnsi="Bookman Old Style" w:cs="Bookman Old Style"/>
        </w:rPr>
        <w:t>, entro il 30 aprile 2023, ai soli fini statistici.</w:t>
      </w:r>
    </w:p>
    <w:p w14:paraId="6C5B876D" w14:textId="77777777" w:rsidR="00772296" w:rsidRPr="007B3627" w:rsidRDefault="00772296" w:rsidP="00772296">
      <w:pPr>
        <w:spacing w:after="0" w:line="240" w:lineRule="auto"/>
        <w:jc w:val="both"/>
        <w:rPr>
          <w:rFonts w:ascii="Bookman Old Style" w:hAnsi="Bookman Old Style"/>
        </w:rPr>
      </w:pPr>
    </w:p>
    <w:p w14:paraId="2904D55D" w14:textId="0820D812" w:rsidR="00A26938" w:rsidRPr="008B266C" w:rsidRDefault="6EE95A2B" w:rsidP="718209F5">
      <w:pPr>
        <w:pStyle w:val="Paragrafoelenco"/>
        <w:numPr>
          <w:ilvl w:val="0"/>
          <w:numId w:val="5"/>
        </w:numPr>
        <w:spacing w:after="0" w:line="240" w:lineRule="auto"/>
        <w:jc w:val="both"/>
        <w:rPr>
          <w:rFonts w:ascii="Bookman Old Style" w:eastAsiaTheme="majorEastAsia" w:hAnsi="Bookman Old Style" w:cstheme="majorBidi"/>
          <w:b/>
          <w:bCs/>
          <w:color w:val="2F5496" w:themeColor="accent1" w:themeShade="BF"/>
        </w:rPr>
      </w:pPr>
      <w:r w:rsidRPr="718209F5">
        <w:rPr>
          <w:rFonts w:ascii="Bookman Old Style" w:eastAsiaTheme="majorEastAsia" w:hAnsi="Bookman Old Style" w:cstheme="majorBidi"/>
          <w:b/>
          <w:bCs/>
          <w:color w:val="2F5496" w:themeColor="accent1" w:themeShade="BF"/>
        </w:rPr>
        <w:t xml:space="preserve">Alleggerimento oneri da indebitamento e utilizzo </w:t>
      </w:r>
      <w:r w:rsidR="38D20077" w:rsidRPr="718209F5">
        <w:rPr>
          <w:rFonts w:ascii="Bookman Old Style" w:eastAsiaTheme="majorEastAsia" w:hAnsi="Bookman Old Style" w:cstheme="majorBidi"/>
          <w:b/>
          <w:bCs/>
          <w:color w:val="2F5496" w:themeColor="accent1" w:themeShade="BF"/>
        </w:rPr>
        <w:t xml:space="preserve">risparmi </w:t>
      </w:r>
      <w:r w:rsidRPr="718209F5">
        <w:rPr>
          <w:rFonts w:ascii="Bookman Old Style" w:eastAsiaTheme="majorEastAsia" w:hAnsi="Bookman Old Style" w:cstheme="majorBidi"/>
          <w:b/>
          <w:bCs/>
          <w:color w:val="2F5496" w:themeColor="accent1" w:themeShade="BF"/>
        </w:rPr>
        <w:t xml:space="preserve">per le maggiori spese energetiche </w:t>
      </w:r>
      <w:r w:rsidRPr="005753F8">
        <w:rPr>
          <w:rFonts w:ascii="Bookman Old Style" w:eastAsiaTheme="majorEastAsia" w:hAnsi="Bookman Old Style" w:cstheme="majorBidi"/>
          <w:b/>
          <w:bCs/>
          <w:i/>
          <w:iCs/>
          <w:color w:val="2F5496" w:themeColor="accent1" w:themeShade="BF"/>
        </w:rPr>
        <w:t>(Art. 3 ter)</w:t>
      </w:r>
    </w:p>
    <w:p w14:paraId="2A9F6037" w14:textId="66FC8E77" w:rsidR="00772296" w:rsidRPr="008B266C" w:rsidRDefault="0A82794B" w:rsidP="718209F5">
      <w:pPr>
        <w:autoSpaceDE w:val="0"/>
        <w:autoSpaceDN w:val="0"/>
        <w:spacing w:after="0" w:line="257" w:lineRule="auto"/>
        <w:jc w:val="both"/>
        <w:rPr>
          <w:rFonts w:ascii="Bookman Old Style" w:eastAsia="Bookman Old Style" w:hAnsi="Bookman Old Style" w:cs="Bookman Old Style"/>
        </w:rPr>
      </w:pPr>
      <w:r w:rsidRPr="718209F5">
        <w:rPr>
          <w:rFonts w:ascii="Bookman Old Style" w:eastAsia="Bookman Old Style" w:hAnsi="Bookman Old Style" w:cs="Bookman Old Style"/>
        </w:rPr>
        <w:t>L’</w:t>
      </w:r>
      <w:r w:rsidRPr="718209F5">
        <w:rPr>
          <w:rFonts w:ascii="Bookman Old Style" w:eastAsia="Bookman Old Style" w:hAnsi="Bookman Old Style" w:cs="Bookman Old Style"/>
          <w:b/>
          <w:bCs/>
        </w:rPr>
        <w:t>articolo 3-ter</w:t>
      </w:r>
      <w:r w:rsidRPr="718209F5">
        <w:rPr>
          <w:rFonts w:ascii="Bookman Old Style" w:eastAsia="Bookman Old Style" w:hAnsi="Bookman Old Style" w:cs="Bookman Old Style"/>
        </w:rPr>
        <w:t xml:space="preserve"> </w:t>
      </w:r>
      <w:r w:rsidR="00F81966">
        <w:rPr>
          <w:rFonts w:ascii="Bookman Old Style" w:eastAsia="Bookman Old Style" w:hAnsi="Bookman Old Style" w:cs="Bookman Old Style"/>
        </w:rPr>
        <w:t>approvato in Senato</w:t>
      </w:r>
      <w:r w:rsidR="006463D7">
        <w:rPr>
          <w:rFonts w:ascii="Bookman Old Style" w:eastAsia="Bookman Old Style" w:hAnsi="Bookman Old Style" w:cs="Bookman Old Style"/>
        </w:rPr>
        <w:t xml:space="preserve"> </w:t>
      </w:r>
      <w:r w:rsidRPr="718209F5">
        <w:rPr>
          <w:rFonts w:ascii="Bookman Old Style" w:eastAsia="Bookman Old Style" w:hAnsi="Bookman Old Style" w:cs="Bookman Old Style"/>
        </w:rPr>
        <w:t xml:space="preserve">approva alcune importanti disposizioni in materia di </w:t>
      </w:r>
      <w:r w:rsidRPr="718209F5">
        <w:rPr>
          <w:rFonts w:ascii="Bookman Old Style" w:eastAsia="Bookman Old Style" w:hAnsi="Bookman Old Style" w:cs="Bookman Old Style"/>
          <w:b/>
          <w:bCs/>
        </w:rPr>
        <w:t>indebitamento degli enti locali</w:t>
      </w:r>
      <w:r w:rsidRPr="718209F5">
        <w:rPr>
          <w:rFonts w:ascii="Bookman Old Style" w:eastAsia="Bookman Old Style" w:hAnsi="Bookman Old Style" w:cs="Bookman Old Style"/>
        </w:rPr>
        <w:t>:</w:t>
      </w:r>
    </w:p>
    <w:p w14:paraId="3784F9A8" w14:textId="7FDA32B2" w:rsidR="00772296" w:rsidRPr="000A39E9" w:rsidRDefault="0A82794B" w:rsidP="00BC25D4">
      <w:pPr>
        <w:pStyle w:val="Paragrafoelenco"/>
        <w:numPr>
          <w:ilvl w:val="0"/>
          <w:numId w:val="10"/>
        </w:numPr>
        <w:autoSpaceDE w:val="0"/>
        <w:autoSpaceDN w:val="0"/>
        <w:spacing w:after="0" w:line="240" w:lineRule="auto"/>
        <w:jc w:val="both"/>
        <w:rPr>
          <w:rFonts w:ascii="Calibri" w:eastAsia="Calibri" w:hAnsi="Calibri" w:cs="Calibri"/>
        </w:rPr>
      </w:pPr>
      <w:r w:rsidRPr="00BC25D4">
        <w:rPr>
          <w:rFonts w:ascii="Bookman Old Style" w:eastAsia="Bookman Old Style" w:hAnsi="Bookman Old Style" w:cs="Bookman Old Style"/>
        </w:rPr>
        <w:t>i</w:t>
      </w:r>
      <w:r w:rsidRPr="00BC25D4">
        <w:rPr>
          <w:rFonts w:ascii="Bookman Old Style" w:hAnsi="Bookman Old Style" w:cs="Times New Roman"/>
          <w:color w:val="000000" w:themeColor="text1"/>
        </w:rPr>
        <w:t xml:space="preserve">l </w:t>
      </w:r>
      <w:r w:rsidRPr="00BC25D4">
        <w:rPr>
          <w:rFonts w:ascii="Bookman Old Style" w:eastAsia="Bookman Old Style" w:hAnsi="Bookman Old Style" w:cs="Bookman Old Style"/>
          <w:b/>
          <w:bCs/>
        </w:rPr>
        <w:t>comma 1</w:t>
      </w:r>
      <w:r w:rsidRPr="00BC25D4">
        <w:rPr>
          <w:rFonts w:ascii="Bookman Old Style" w:eastAsia="Bookman Old Style" w:hAnsi="Bookman Old Style" w:cs="Bookman Old Style"/>
        </w:rPr>
        <w:t xml:space="preserve"> estende </w:t>
      </w:r>
      <w:r w:rsidRPr="00BC25D4">
        <w:rPr>
          <w:rFonts w:ascii="Bookman Old Style" w:eastAsia="Bookman Old Style" w:hAnsi="Bookman Old Style" w:cs="Bookman Old Style"/>
          <w:b/>
          <w:bCs/>
        </w:rPr>
        <w:t>fino al 2025</w:t>
      </w:r>
      <w:r w:rsidRPr="00BC25D4">
        <w:rPr>
          <w:rFonts w:ascii="Bookman Old Style" w:eastAsia="Bookman Old Style" w:hAnsi="Bookman Old Style" w:cs="Bookman Old Style"/>
        </w:rPr>
        <w:t xml:space="preserve"> la possibilità di </w:t>
      </w:r>
      <w:r w:rsidRPr="00BC25D4">
        <w:rPr>
          <w:rFonts w:ascii="Bookman Old Style" w:eastAsia="Bookman Old Style" w:hAnsi="Bookman Old Style" w:cs="Bookman Old Style"/>
          <w:b/>
          <w:bCs/>
        </w:rPr>
        <w:t>utilizzare senza vincoli di destinazione</w:t>
      </w:r>
      <w:r w:rsidRPr="00BC25D4">
        <w:rPr>
          <w:rFonts w:ascii="Bookman Old Style" w:eastAsia="Bookman Old Style" w:hAnsi="Bookman Old Style" w:cs="Bookman Old Style"/>
        </w:rPr>
        <w:t>, quindi anche per spese correnti, i</w:t>
      </w:r>
      <w:r w:rsidRPr="00BC25D4">
        <w:rPr>
          <w:rFonts w:ascii="Bookman Old Style" w:eastAsia="Bookman Old Style" w:hAnsi="Bookman Old Style" w:cs="Bookman Old Style"/>
          <w:b/>
          <w:bCs/>
        </w:rPr>
        <w:t xml:space="preserve"> risparmi </w:t>
      </w:r>
      <w:r w:rsidRPr="00BC25D4">
        <w:rPr>
          <w:rFonts w:ascii="Bookman Old Style" w:eastAsia="Bookman Old Style" w:hAnsi="Bookman Old Style" w:cs="Bookman Old Style"/>
        </w:rPr>
        <w:t>derivanti da operazioni di</w:t>
      </w:r>
      <w:r w:rsidRPr="00BC25D4">
        <w:rPr>
          <w:rFonts w:ascii="Bookman Old Style" w:eastAsia="Bookman Old Style" w:hAnsi="Bookman Old Style" w:cs="Bookman Old Style"/>
          <w:b/>
          <w:bCs/>
        </w:rPr>
        <w:t xml:space="preserve"> rinegoziazione</w:t>
      </w:r>
      <w:r w:rsidRPr="00BC25D4">
        <w:rPr>
          <w:rFonts w:ascii="Bookman Old Style" w:eastAsia="Bookman Old Style" w:hAnsi="Bookman Old Style" w:cs="Bookman Old Style"/>
        </w:rPr>
        <w:t xml:space="preserve"> </w:t>
      </w:r>
      <w:r w:rsidRPr="00BC25D4">
        <w:rPr>
          <w:rFonts w:ascii="Bookman Old Style" w:eastAsia="Bookman Old Style" w:hAnsi="Bookman Old Style" w:cs="Bookman Old Style"/>
          <w:b/>
          <w:bCs/>
        </w:rPr>
        <w:t>dei mutui</w:t>
      </w:r>
      <w:r w:rsidRPr="00BC25D4">
        <w:rPr>
          <w:rFonts w:ascii="Bookman Old Style" w:eastAsia="Bookman Old Style" w:hAnsi="Bookman Old Style" w:cs="Bookman Old Style"/>
        </w:rPr>
        <w:t xml:space="preserve"> e </w:t>
      </w:r>
      <w:r w:rsidRPr="00BC25D4">
        <w:rPr>
          <w:rFonts w:ascii="Bookman Old Style" w:eastAsia="Bookman Old Style" w:hAnsi="Bookman Old Style" w:cs="Bookman Old Style"/>
          <w:b/>
          <w:bCs/>
        </w:rPr>
        <w:t>riacquisto di titoli obbligazionari</w:t>
      </w:r>
      <w:r w:rsidRPr="00BC25D4">
        <w:rPr>
          <w:rFonts w:ascii="Bookman Old Style" w:eastAsia="Bookman Old Style" w:hAnsi="Bookman Old Style" w:cs="Bookman Old Style"/>
        </w:rPr>
        <w:t xml:space="preserve"> emessi;</w:t>
      </w:r>
    </w:p>
    <w:p w14:paraId="36588E23" w14:textId="67870773" w:rsidR="00772296" w:rsidRPr="00BC25D4" w:rsidRDefault="0A82794B" w:rsidP="00BC25D4">
      <w:pPr>
        <w:pStyle w:val="Paragrafoelenco"/>
        <w:numPr>
          <w:ilvl w:val="0"/>
          <w:numId w:val="10"/>
        </w:numPr>
        <w:autoSpaceDE w:val="0"/>
        <w:autoSpaceDN w:val="0"/>
        <w:spacing w:after="0" w:line="240" w:lineRule="auto"/>
        <w:jc w:val="both"/>
        <w:rPr>
          <w:rFonts w:ascii="Bookman Old Style" w:eastAsia="Bookman Old Style" w:hAnsi="Bookman Old Style" w:cs="Bookman Old Style"/>
        </w:rPr>
      </w:pPr>
      <w:r w:rsidRPr="00BC25D4">
        <w:rPr>
          <w:rFonts w:ascii="Bookman Old Style" w:eastAsia="Bookman Old Style" w:hAnsi="Bookman Old Style" w:cs="Bookman Old Style"/>
        </w:rPr>
        <w:t xml:space="preserve">il </w:t>
      </w:r>
      <w:r w:rsidRPr="00BC25D4">
        <w:rPr>
          <w:rFonts w:ascii="Bookman Old Style" w:eastAsia="Bookman Old Style" w:hAnsi="Bookman Old Style" w:cs="Bookman Old Style"/>
          <w:b/>
          <w:bCs/>
        </w:rPr>
        <w:t>comma 2</w:t>
      </w:r>
      <w:r w:rsidRPr="00BC25D4">
        <w:rPr>
          <w:rFonts w:ascii="Bookman Old Style" w:eastAsia="Bookman Old Style" w:hAnsi="Bookman Old Style" w:cs="Bookman Old Style"/>
        </w:rPr>
        <w:t xml:space="preserve"> consente agli enti locali nel corso del 2023, </w:t>
      </w:r>
      <w:r w:rsidR="78960BC0" w:rsidRPr="00BC25D4">
        <w:rPr>
          <w:rFonts w:ascii="Bookman Old Style" w:eastAsia="Bookman Old Style" w:hAnsi="Bookman Old Style" w:cs="Bookman Old Style"/>
          <w:b/>
          <w:bCs/>
        </w:rPr>
        <w:t>in considerazione dell’emergenza energetica</w:t>
      </w:r>
      <w:r w:rsidR="78960BC0" w:rsidRPr="00BC25D4">
        <w:rPr>
          <w:rFonts w:ascii="Bookman Old Style" w:eastAsia="Bookman Old Style" w:hAnsi="Bookman Old Style" w:cs="Bookman Old Style"/>
        </w:rPr>
        <w:t xml:space="preserve"> </w:t>
      </w:r>
      <w:r w:rsidR="78960BC0" w:rsidRPr="00BC25D4">
        <w:rPr>
          <w:rFonts w:ascii="Bookman Old Style" w:eastAsia="Bookman Old Style" w:hAnsi="Bookman Old Style" w:cs="Bookman Old Style"/>
          <w:b/>
          <w:bCs/>
        </w:rPr>
        <w:t>in corso</w:t>
      </w:r>
      <w:r w:rsidR="78960BC0" w:rsidRPr="00BC25D4">
        <w:rPr>
          <w:rFonts w:ascii="Bookman Old Style" w:eastAsia="Bookman Old Style" w:hAnsi="Bookman Old Style" w:cs="Bookman Old Style"/>
        </w:rPr>
        <w:t xml:space="preserve">, </w:t>
      </w:r>
      <w:r w:rsidRPr="00BC25D4">
        <w:rPr>
          <w:rFonts w:ascii="Bookman Old Style" w:eastAsia="Bookman Old Style" w:hAnsi="Bookman Old Style" w:cs="Bookman Old Style"/>
        </w:rPr>
        <w:t xml:space="preserve">di </w:t>
      </w:r>
      <w:r w:rsidRPr="00BC25D4">
        <w:rPr>
          <w:rFonts w:ascii="Bookman Old Style" w:eastAsia="Bookman Old Style" w:hAnsi="Bookman Old Style" w:cs="Bookman Old Style"/>
          <w:b/>
          <w:bCs/>
        </w:rPr>
        <w:t>rinegoziare o sospendere</w:t>
      </w:r>
      <w:r w:rsidRPr="00BC25D4">
        <w:rPr>
          <w:rFonts w:ascii="Bookman Old Style" w:eastAsia="Bookman Old Style" w:hAnsi="Bookman Old Style" w:cs="Bookman Old Style"/>
        </w:rPr>
        <w:t xml:space="preserve"> con deliberazione di giunta, anche in esercizio provvisorio, la </w:t>
      </w:r>
      <w:r w:rsidRPr="00BC25D4">
        <w:rPr>
          <w:rFonts w:ascii="Bookman Old Style" w:eastAsia="Bookman Old Style" w:hAnsi="Bookman Old Style" w:cs="Bookman Old Style"/>
          <w:b/>
          <w:bCs/>
        </w:rPr>
        <w:t>quota capitale di mutui e altre forme di prestito</w:t>
      </w:r>
      <w:r w:rsidRPr="00BC25D4">
        <w:rPr>
          <w:rFonts w:ascii="Bookman Old Style" w:eastAsia="Bookman Old Style" w:hAnsi="Bookman Old Style" w:cs="Bookman Old Style"/>
        </w:rPr>
        <w:t>, fermo restando l’</w:t>
      </w:r>
      <w:r w:rsidRPr="00BC25D4">
        <w:rPr>
          <w:rFonts w:ascii="Bookman Old Style" w:eastAsia="Bookman Old Style" w:hAnsi="Bookman Old Style" w:cs="Bookman Old Style"/>
          <w:b/>
          <w:bCs/>
        </w:rPr>
        <w:t xml:space="preserve">obbligo di provvedere </w:t>
      </w:r>
      <w:r w:rsidR="008A6701">
        <w:rPr>
          <w:rFonts w:ascii="Bookman Old Style" w:eastAsia="Bookman Old Style" w:hAnsi="Bookman Old Style" w:cs="Bookman Old Style"/>
          <w:b/>
          <w:bCs/>
        </w:rPr>
        <w:t xml:space="preserve">successivamente </w:t>
      </w:r>
      <w:r w:rsidRPr="00BC25D4">
        <w:rPr>
          <w:rFonts w:ascii="Bookman Old Style" w:eastAsia="Bookman Old Style" w:hAnsi="Bookman Old Style" w:cs="Bookman Old Style"/>
          <w:b/>
          <w:bCs/>
        </w:rPr>
        <w:t>alle relative iscrizioni nel bilancio di previsione</w:t>
      </w:r>
      <w:r w:rsidR="00251D52">
        <w:rPr>
          <w:rFonts w:ascii="Bookman Old Style" w:eastAsia="Bookman Old Style" w:hAnsi="Bookman Old Style" w:cs="Bookman Old Style"/>
        </w:rPr>
        <w:t>;</w:t>
      </w:r>
    </w:p>
    <w:p w14:paraId="3587E62F" w14:textId="4235B599" w:rsidR="00772296" w:rsidRDefault="67E1D9C6" w:rsidP="000A39E9">
      <w:pPr>
        <w:pStyle w:val="Paragrafoelenco"/>
        <w:numPr>
          <w:ilvl w:val="0"/>
          <w:numId w:val="10"/>
        </w:numPr>
        <w:autoSpaceDE w:val="0"/>
        <w:autoSpaceDN w:val="0"/>
        <w:spacing w:after="0" w:line="240" w:lineRule="auto"/>
        <w:jc w:val="both"/>
        <w:rPr>
          <w:rFonts w:ascii="Bookman Old Style" w:eastAsia="Bookman Old Style" w:hAnsi="Bookman Old Style" w:cs="Bookman Old Style"/>
        </w:rPr>
      </w:pPr>
      <w:r w:rsidRPr="00BC25D4">
        <w:rPr>
          <w:rFonts w:ascii="Bookman Old Style" w:eastAsia="Bookman Old Style" w:hAnsi="Bookman Old Style" w:cs="Bookman Old Style"/>
        </w:rPr>
        <w:t xml:space="preserve">sempre in considerazione dei </w:t>
      </w:r>
      <w:r w:rsidRPr="00BC25D4">
        <w:rPr>
          <w:rFonts w:ascii="Bookman Old Style" w:eastAsia="Bookman Old Style" w:hAnsi="Bookman Old Style" w:cs="Bookman Old Style"/>
          <w:b/>
          <w:bCs/>
        </w:rPr>
        <w:t>maggiori costi energetici</w:t>
      </w:r>
      <w:r w:rsidRPr="00BC25D4">
        <w:rPr>
          <w:rFonts w:ascii="Bookman Old Style" w:eastAsia="Bookman Old Style" w:hAnsi="Bookman Old Style" w:cs="Bookman Old Style"/>
        </w:rPr>
        <w:t xml:space="preserve">, </w:t>
      </w:r>
      <w:r w:rsidR="0A82794B" w:rsidRPr="00BC25D4">
        <w:rPr>
          <w:rFonts w:ascii="Bookman Old Style" w:eastAsia="Bookman Old Style" w:hAnsi="Bookman Old Style" w:cs="Bookman Old Style"/>
        </w:rPr>
        <w:t xml:space="preserve">il </w:t>
      </w:r>
      <w:r w:rsidR="0A82794B" w:rsidRPr="00BC25D4">
        <w:rPr>
          <w:rFonts w:ascii="Bookman Old Style" w:eastAsia="Bookman Old Style" w:hAnsi="Bookman Old Style" w:cs="Bookman Old Style"/>
          <w:b/>
          <w:bCs/>
        </w:rPr>
        <w:t>comma 3</w:t>
      </w:r>
      <w:r w:rsidR="0A82794B" w:rsidRPr="00BC25D4">
        <w:rPr>
          <w:rFonts w:ascii="Bookman Old Style" w:eastAsia="Bookman Old Style" w:hAnsi="Bookman Old Style" w:cs="Bookman Old Style"/>
        </w:rPr>
        <w:t xml:space="preserve"> interviene nella </w:t>
      </w:r>
      <w:r w:rsidR="0A82794B" w:rsidRPr="00BC25D4">
        <w:rPr>
          <w:rFonts w:ascii="Bookman Old Style" w:eastAsia="Bookman Old Style" w:hAnsi="Bookman Old Style" w:cs="Bookman Old Style"/>
          <w:b/>
          <w:bCs/>
        </w:rPr>
        <w:t>facilitazione</w:t>
      </w:r>
      <w:r w:rsidR="0A82794B" w:rsidRPr="00BC25D4">
        <w:rPr>
          <w:rFonts w:ascii="Bookman Old Style" w:eastAsia="Bookman Old Style" w:hAnsi="Bookman Old Style" w:cs="Bookman Old Style"/>
        </w:rPr>
        <w:t xml:space="preserve"> dell’attuazione di </w:t>
      </w:r>
      <w:r w:rsidR="008A6701">
        <w:rPr>
          <w:rFonts w:ascii="Bookman Old Style" w:eastAsia="Bookman Old Style" w:hAnsi="Bookman Old Style" w:cs="Bookman Old Style"/>
        </w:rPr>
        <w:t xml:space="preserve">eventuali </w:t>
      </w:r>
      <w:r w:rsidR="0A82794B" w:rsidRPr="00BC25D4">
        <w:rPr>
          <w:rFonts w:ascii="Bookman Old Style" w:eastAsia="Bookman Old Style" w:hAnsi="Bookman Old Style" w:cs="Bookman Old Style"/>
          <w:b/>
          <w:bCs/>
        </w:rPr>
        <w:t>accordi siglati tra ABI e le associazioni</w:t>
      </w:r>
      <w:r w:rsidR="0A82794B" w:rsidRPr="00BC25D4">
        <w:rPr>
          <w:rFonts w:ascii="Bookman Old Style" w:eastAsia="Bookman Old Style" w:hAnsi="Bookman Old Style" w:cs="Bookman Old Style"/>
        </w:rPr>
        <w:t xml:space="preserve"> rappresentative degli </w:t>
      </w:r>
      <w:r w:rsidR="0A82794B" w:rsidRPr="00BC25D4">
        <w:rPr>
          <w:rFonts w:ascii="Bookman Old Style" w:eastAsia="Bookman Old Style" w:hAnsi="Bookman Old Style" w:cs="Bookman Old Style"/>
          <w:b/>
          <w:bCs/>
        </w:rPr>
        <w:t>enti locali</w:t>
      </w:r>
      <w:r w:rsidR="0A82794B" w:rsidRPr="00BC25D4">
        <w:rPr>
          <w:rFonts w:ascii="Bookman Old Style" w:eastAsia="Bookman Old Style" w:hAnsi="Bookman Old Style" w:cs="Bookman Old Style"/>
        </w:rPr>
        <w:t xml:space="preserve">, permettendo che eventuali </w:t>
      </w:r>
      <w:r w:rsidR="0A82794B" w:rsidRPr="00BC25D4">
        <w:rPr>
          <w:rFonts w:ascii="Bookman Old Style" w:eastAsia="Bookman Old Style" w:hAnsi="Bookman Old Style" w:cs="Bookman Old Style"/>
          <w:b/>
          <w:bCs/>
        </w:rPr>
        <w:t>sospensioni della quota capitale 2022/2023 dei mutui bancari</w:t>
      </w:r>
      <w:r w:rsidR="0A82794B" w:rsidRPr="00BC25D4">
        <w:rPr>
          <w:rFonts w:ascii="Bookman Old Style" w:eastAsia="Bookman Old Style" w:hAnsi="Bookman Old Style" w:cs="Bookman Old Style"/>
        </w:rPr>
        <w:t xml:space="preserve"> possano avvenire in </w:t>
      </w:r>
      <w:r w:rsidR="0A82794B" w:rsidRPr="00BC25D4">
        <w:rPr>
          <w:rFonts w:ascii="Bookman Old Style" w:eastAsia="Bookman Old Style" w:hAnsi="Bookman Old Style" w:cs="Bookman Old Style"/>
          <w:b/>
          <w:bCs/>
        </w:rPr>
        <w:t xml:space="preserve">deroga </w:t>
      </w:r>
      <w:r w:rsidR="0A82794B" w:rsidRPr="00BC25D4">
        <w:rPr>
          <w:rFonts w:ascii="Bookman Old Style" w:eastAsia="Bookman Old Style" w:hAnsi="Bookman Old Style" w:cs="Bookman Old Style"/>
        </w:rPr>
        <w:t>alle regole dell’</w:t>
      </w:r>
      <w:r w:rsidR="0A82794B" w:rsidRPr="00BC25D4">
        <w:rPr>
          <w:rFonts w:ascii="Bookman Old Style" w:eastAsia="Bookman Old Style" w:hAnsi="Bookman Old Style" w:cs="Bookman Old Style"/>
          <w:b/>
          <w:bCs/>
        </w:rPr>
        <w:t>art. 204 TUEL</w:t>
      </w:r>
      <w:r w:rsidR="0A82794B" w:rsidRPr="00BC25D4">
        <w:rPr>
          <w:rFonts w:ascii="Bookman Old Style" w:eastAsia="Bookman Old Style" w:hAnsi="Bookman Old Style" w:cs="Bookman Old Style"/>
        </w:rPr>
        <w:t xml:space="preserve"> e senza la verifica di convenienza di cui all’</w:t>
      </w:r>
      <w:r w:rsidR="0A82794B" w:rsidRPr="00BC25D4">
        <w:rPr>
          <w:rFonts w:ascii="Bookman Old Style" w:eastAsia="Bookman Old Style" w:hAnsi="Bookman Old Style" w:cs="Bookman Old Style"/>
          <w:b/>
          <w:bCs/>
        </w:rPr>
        <w:t>art. 41 della legge 448 del 2001</w:t>
      </w:r>
      <w:r w:rsidR="0A82794B" w:rsidRPr="00BC25D4">
        <w:rPr>
          <w:rFonts w:ascii="Bookman Old Style" w:eastAsia="Bookman Old Style" w:hAnsi="Bookman Old Style" w:cs="Bookman Old Style"/>
        </w:rPr>
        <w:t>. La norma dispone inoltre che l</w:t>
      </w:r>
      <w:r w:rsidR="0A82794B" w:rsidRPr="00BC25D4">
        <w:rPr>
          <w:rFonts w:ascii="Bookman Old Style" w:eastAsia="Bookman Old Style" w:hAnsi="Bookman Old Style" w:cs="Bookman Old Style"/>
          <w:b/>
          <w:bCs/>
        </w:rPr>
        <w:t>e sospensioni in questione non rendano necessario il rilascio di nuove garanzie</w:t>
      </w:r>
      <w:r w:rsidR="0A82794B" w:rsidRPr="00BC25D4">
        <w:rPr>
          <w:rFonts w:ascii="Bookman Old Style" w:eastAsia="Bookman Old Style" w:hAnsi="Bookman Old Style" w:cs="Bookman Old Style"/>
        </w:rPr>
        <w:t>, prorogando (di un anno) le garanzie già originariamente prestate, in coincidenza con l’allungamento della durata del mutuo stabilito dall'accordo.</w:t>
      </w:r>
    </w:p>
    <w:p w14:paraId="43526D75" w14:textId="47EC6940" w:rsidR="00BC25D4" w:rsidRDefault="00251D52" w:rsidP="00251D52">
      <w:pPr>
        <w:autoSpaceDE w:val="0"/>
        <w:autoSpaceDN w:val="0"/>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lastRenderedPageBreak/>
        <w:t xml:space="preserve">Ambedue le </w:t>
      </w:r>
      <w:r w:rsidR="009233A2">
        <w:rPr>
          <w:rFonts w:ascii="Bookman Old Style" w:eastAsia="Bookman Old Style" w:hAnsi="Bookman Old Style" w:cs="Bookman Old Style"/>
        </w:rPr>
        <w:t xml:space="preserve">norme di facilitazione </w:t>
      </w:r>
      <w:r w:rsidR="00EA0D1E">
        <w:rPr>
          <w:rFonts w:ascii="Bookman Old Style" w:eastAsia="Bookman Old Style" w:hAnsi="Bookman Old Style" w:cs="Bookman Old Style"/>
        </w:rPr>
        <w:t xml:space="preserve">procedurale </w:t>
      </w:r>
      <w:r w:rsidR="009233A2">
        <w:rPr>
          <w:rFonts w:ascii="Bookman Old Style" w:eastAsia="Bookman Old Style" w:hAnsi="Bookman Old Style" w:cs="Bookman Old Style"/>
        </w:rPr>
        <w:t xml:space="preserve">potranno avere effetti concreti </w:t>
      </w:r>
      <w:r w:rsidR="00EA0D1E">
        <w:rPr>
          <w:rFonts w:ascii="Bookman Old Style" w:eastAsia="Bookman Old Style" w:hAnsi="Bookman Old Style" w:cs="Bookman Old Style"/>
        </w:rPr>
        <w:t xml:space="preserve">solo in presenza di effettive operazioni di rinegoziazione da parte </w:t>
      </w:r>
      <w:r w:rsidR="009F5CE1">
        <w:rPr>
          <w:rFonts w:ascii="Bookman Old Style" w:eastAsia="Bookman Old Style" w:hAnsi="Bookman Old Style" w:cs="Bookman Old Style"/>
        </w:rPr>
        <w:t xml:space="preserve">della Cassa Depositi e Prestiti e/o delle banche. </w:t>
      </w:r>
    </w:p>
    <w:p w14:paraId="75CC06EE" w14:textId="6B62AB4C" w:rsidR="00251D52" w:rsidRPr="00BC25D4" w:rsidRDefault="009F5CE1" w:rsidP="00BC25D4">
      <w:pPr>
        <w:autoSpaceDE w:val="0"/>
        <w:autoSpaceDN w:val="0"/>
        <w:spacing w:after="0" w:line="240" w:lineRule="auto"/>
        <w:jc w:val="both"/>
        <w:rPr>
          <w:rFonts w:ascii="Bookman Old Style" w:eastAsia="Bookman Old Style" w:hAnsi="Bookman Old Style" w:cs="Bookman Old Style"/>
        </w:rPr>
      </w:pPr>
      <w:r>
        <w:rPr>
          <w:rFonts w:ascii="Bookman Old Style" w:eastAsia="Bookman Old Style" w:hAnsi="Bookman Old Style" w:cs="Bookman Old Style"/>
        </w:rPr>
        <w:t xml:space="preserve">Inoltre, il riferimento alla dinamica dei costi energetici </w:t>
      </w:r>
      <w:r w:rsidR="00B1249E">
        <w:rPr>
          <w:rFonts w:ascii="Bookman Old Style" w:eastAsia="Bookman Old Style" w:hAnsi="Bookman Old Style" w:cs="Bookman Old Style"/>
        </w:rPr>
        <w:t xml:space="preserve">quale elemento motivazionale della norma in commento </w:t>
      </w:r>
      <w:r>
        <w:rPr>
          <w:rFonts w:ascii="Bookman Old Style" w:eastAsia="Bookman Old Style" w:hAnsi="Bookman Old Style" w:cs="Bookman Old Style"/>
        </w:rPr>
        <w:t xml:space="preserve">non configura un </w:t>
      </w:r>
      <w:r w:rsidR="00D05039">
        <w:rPr>
          <w:rFonts w:ascii="Bookman Old Style" w:eastAsia="Bookman Old Style" w:hAnsi="Bookman Old Style" w:cs="Bookman Old Style"/>
        </w:rPr>
        <w:t xml:space="preserve">esplicito vincolo di destinazione delle </w:t>
      </w:r>
      <w:r w:rsidR="00B1249E">
        <w:rPr>
          <w:rFonts w:ascii="Bookman Old Style" w:eastAsia="Bookman Old Style" w:hAnsi="Bookman Old Style" w:cs="Bookman Old Style"/>
        </w:rPr>
        <w:t>economie derivanti dalle rinegoziazioni.</w:t>
      </w:r>
    </w:p>
    <w:p w14:paraId="49E9715D" w14:textId="1BAECED6" w:rsidR="00855C09" w:rsidRPr="00C55198" w:rsidRDefault="00855C09" w:rsidP="008D066C">
      <w:pPr>
        <w:autoSpaceDE w:val="0"/>
        <w:autoSpaceDN w:val="0"/>
        <w:spacing w:after="0" w:line="240" w:lineRule="auto"/>
        <w:jc w:val="both"/>
        <w:rPr>
          <w:rFonts w:ascii="Bookman Old Style" w:hAnsi="Bookman Old Style" w:cs="Times New Roman"/>
        </w:rPr>
      </w:pPr>
    </w:p>
    <w:p w14:paraId="28EF45CF" w14:textId="77777777" w:rsidR="00855C09" w:rsidRPr="00C55198" w:rsidRDefault="00855C09" w:rsidP="00855C09">
      <w:pPr>
        <w:pStyle w:val="Paragrafoelenco"/>
        <w:numPr>
          <w:ilvl w:val="0"/>
          <w:numId w:val="5"/>
        </w:numPr>
        <w:spacing w:after="0" w:line="240" w:lineRule="auto"/>
        <w:rPr>
          <w:rFonts w:ascii="Bookman Old Style" w:eastAsiaTheme="majorEastAsia" w:hAnsi="Bookman Old Style" w:cstheme="majorBidi"/>
          <w:b/>
          <w:bCs/>
          <w:color w:val="2F5496" w:themeColor="accent1" w:themeShade="BF"/>
        </w:rPr>
      </w:pPr>
      <w:r w:rsidRPr="00C55198">
        <w:rPr>
          <w:rFonts w:ascii="Bookman Old Style" w:eastAsiaTheme="majorEastAsia" w:hAnsi="Bookman Old Style" w:cstheme="majorBidi"/>
          <w:b/>
          <w:bCs/>
          <w:color w:val="2F5496" w:themeColor="accent1" w:themeShade="BF"/>
        </w:rPr>
        <w:t xml:space="preserve">Termini della procedura di riequilibrio finanziario pluriennale </w:t>
      </w:r>
      <w:r w:rsidRPr="005753F8">
        <w:rPr>
          <w:rFonts w:ascii="Bookman Old Style" w:eastAsiaTheme="majorEastAsia" w:hAnsi="Bookman Old Style" w:cstheme="majorBidi"/>
          <w:b/>
          <w:bCs/>
          <w:i/>
          <w:iCs/>
          <w:color w:val="2F5496" w:themeColor="accent1" w:themeShade="BF"/>
        </w:rPr>
        <w:t>(Art. 3 quater)</w:t>
      </w:r>
    </w:p>
    <w:p w14:paraId="522530A4" w14:textId="77EB0DCD" w:rsidR="00F90C36" w:rsidRDefault="00855C09" w:rsidP="4D11C804">
      <w:pPr>
        <w:autoSpaceDE w:val="0"/>
        <w:autoSpaceDN w:val="0"/>
        <w:spacing w:after="0" w:line="240" w:lineRule="auto"/>
        <w:jc w:val="both"/>
        <w:rPr>
          <w:rFonts w:ascii="Bookman Old Style" w:hAnsi="Bookman Old Style"/>
        </w:rPr>
      </w:pPr>
      <w:r w:rsidRPr="00C55198">
        <w:rPr>
          <w:rFonts w:ascii="Bookman Old Style" w:hAnsi="Bookman Old Style"/>
          <w:b/>
          <w:bCs/>
        </w:rPr>
        <w:t>L</w:t>
      </w:r>
      <w:r w:rsidR="006463D7">
        <w:rPr>
          <w:rFonts w:ascii="Bookman Old Style" w:hAnsi="Bookman Old Style"/>
          <w:b/>
          <w:bCs/>
        </w:rPr>
        <w:t>a norma approvata in Senato</w:t>
      </w:r>
      <w:r w:rsidRPr="00C55198">
        <w:rPr>
          <w:rFonts w:ascii="Bookman Old Style" w:hAnsi="Bookman Old Style"/>
          <w:b/>
          <w:bCs/>
        </w:rPr>
        <w:t>,</w:t>
      </w:r>
      <w:r w:rsidRPr="00C55198">
        <w:rPr>
          <w:rFonts w:ascii="Bookman Old Style" w:hAnsi="Bookman Old Style"/>
        </w:rPr>
        <w:t xml:space="preserve"> dispone il differimento al 30 giugno 2023 dei termini per la delibera dei piani di riequilibrio finanziario pluriennale nel caso di enti locali che hanno proceduto al rinnovo degli organi elettivi nel 2022.</w:t>
      </w:r>
    </w:p>
    <w:p w14:paraId="211F3B3A" w14:textId="77777777" w:rsidR="00F90C36" w:rsidRPr="008D066C" w:rsidRDefault="00F90C36" w:rsidP="008D066C">
      <w:pPr>
        <w:autoSpaceDE w:val="0"/>
        <w:autoSpaceDN w:val="0"/>
        <w:spacing w:after="0" w:line="240" w:lineRule="auto"/>
        <w:jc w:val="both"/>
        <w:rPr>
          <w:rFonts w:ascii="Bookman Old Style" w:hAnsi="Bookman Old Style" w:cs="Times New Roman"/>
        </w:rPr>
      </w:pPr>
    </w:p>
    <w:p w14:paraId="0098482B" w14:textId="77777777" w:rsidR="008D066C" w:rsidRPr="008D066C" w:rsidRDefault="008D066C" w:rsidP="008D066C">
      <w:pPr>
        <w:numPr>
          <w:ilvl w:val="0"/>
          <w:numId w:val="8"/>
        </w:numPr>
        <w:autoSpaceDE w:val="0"/>
        <w:autoSpaceDN w:val="0"/>
        <w:adjustRightInd w:val="0"/>
        <w:spacing w:after="0" w:line="240" w:lineRule="auto"/>
        <w:contextualSpacing/>
        <w:rPr>
          <w:rFonts w:ascii="Bookman Old Style" w:eastAsiaTheme="majorEastAsia" w:hAnsi="Bookman Old Style" w:cstheme="majorBidi"/>
          <w:b/>
          <w:bCs/>
          <w:color w:val="2F5496" w:themeColor="accent1" w:themeShade="BF"/>
        </w:rPr>
      </w:pPr>
      <w:r w:rsidRPr="008D066C">
        <w:rPr>
          <w:rFonts w:ascii="Bookman Old Style" w:eastAsiaTheme="majorEastAsia" w:hAnsi="Bookman Old Style" w:cstheme="majorBidi"/>
          <w:b/>
          <w:bCs/>
          <w:color w:val="2F5496" w:themeColor="accent1" w:themeShade="BF"/>
        </w:rPr>
        <w:t xml:space="preserve">Proroga disposizioni in tema di ricetta elettronica </w:t>
      </w:r>
      <w:r w:rsidRPr="005753F8">
        <w:rPr>
          <w:rFonts w:ascii="Bookman Old Style" w:eastAsiaTheme="majorEastAsia" w:hAnsi="Bookman Old Style" w:cstheme="majorBidi"/>
          <w:b/>
          <w:bCs/>
          <w:i/>
          <w:iCs/>
          <w:color w:val="2F5496" w:themeColor="accent1" w:themeShade="BF"/>
        </w:rPr>
        <w:t>(Art. 4, comma 6)</w:t>
      </w:r>
    </w:p>
    <w:p w14:paraId="6D1541DB" w14:textId="2D9A052C" w:rsidR="008D066C" w:rsidRPr="008D066C" w:rsidRDefault="008D066C" w:rsidP="008D066C">
      <w:pPr>
        <w:autoSpaceDE w:val="0"/>
        <w:autoSpaceDN w:val="0"/>
        <w:spacing w:after="0" w:line="240" w:lineRule="auto"/>
        <w:jc w:val="both"/>
        <w:rPr>
          <w:rFonts w:ascii="Bookman Old Style" w:hAnsi="Bookman Old Style"/>
        </w:rPr>
      </w:pPr>
      <w:r w:rsidRPr="008D066C">
        <w:rPr>
          <w:rFonts w:ascii="Bookman Old Style" w:hAnsi="Bookman Old Style" w:cs="Times New Roman"/>
          <w:color w:val="000000"/>
        </w:rPr>
        <w:t>La norma</w:t>
      </w:r>
      <w:r w:rsidRPr="008D066C">
        <w:rPr>
          <w:rFonts w:ascii="Bookman Old Style" w:hAnsi="Bookman Old Style" w:cs="Times New Roman"/>
          <w:b/>
          <w:bCs/>
          <w:color w:val="000000"/>
        </w:rPr>
        <w:t xml:space="preserve"> </w:t>
      </w:r>
      <w:r w:rsidRPr="008D066C">
        <w:rPr>
          <w:rFonts w:ascii="Bookman Old Style" w:hAnsi="Bookman Old Style" w:cs="Times New Roman"/>
          <w:color w:val="000000"/>
        </w:rPr>
        <w:t>proroga al 31 dicembre 202</w:t>
      </w:r>
      <w:r w:rsidR="00E54DE4">
        <w:rPr>
          <w:rFonts w:ascii="Bookman Old Style" w:hAnsi="Bookman Old Style" w:cs="Times New Roman"/>
          <w:color w:val="000000"/>
        </w:rPr>
        <w:t>4</w:t>
      </w:r>
      <w:r w:rsidRPr="008D066C">
        <w:rPr>
          <w:rFonts w:ascii="Bookman Old Style" w:hAnsi="Bookman Old Style" w:cs="Times New Roman"/>
          <w:color w:val="000000"/>
        </w:rPr>
        <w:t xml:space="preserve"> le modalità di utilizzo di strumenti alternativi al promemoria cartaceo della ricetta elettronica e quelle di utilizzo presso le farmacie del promemoria della ricetta elettronica di cui agli articoli 2 e 3 dell’ordinanza n. 884 del 31 marzo 2022 del Capo del Dipartimento della Protezione Civile.</w:t>
      </w:r>
    </w:p>
    <w:p w14:paraId="6671F2C1" w14:textId="77777777" w:rsidR="008D066C" w:rsidRPr="008D066C" w:rsidRDefault="008D066C" w:rsidP="008D066C">
      <w:pPr>
        <w:autoSpaceDE w:val="0"/>
        <w:autoSpaceDN w:val="0"/>
        <w:spacing w:after="0" w:line="240" w:lineRule="auto"/>
        <w:jc w:val="both"/>
        <w:rPr>
          <w:rFonts w:ascii="Bookman Old Style" w:hAnsi="Bookman Old Style"/>
        </w:rPr>
      </w:pPr>
    </w:p>
    <w:p w14:paraId="3C7AD0EC" w14:textId="54D480DD" w:rsidR="008D066C" w:rsidRPr="005753F8" w:rsidRDefault="008D066C" w:rsidP="008D066C">
      <w:pPr>
        <w:keepNext/>
        <w:keepLines/>
        <w:numPr>
          <w:ilvl w:val="0"/>
          <w:numId w:val="8"/>
        </w:numPr>
        <w:spacing w:before="40" w:after="0" w:line="256" w:lineRule="auto"/>
        <w:contextualSpacing/>
        <w:jc w:val="both"/>
        <w:outlineLvl w:val="1"/>
        <w:rPr>
          <w:rFonts w:ascii="Bookman Old Style" w:eastAsiaTheme="majorEastAsia" w:hAnsi="Bookman Old Style" w:cstheme="majorBidi"/>
          <w:b/>
          <w:bCs/>
          <w:i/>
          <w:iCs/>
          <w:color w:val="2F5496" w:themeColor="accent1" w:themeShade="BF"/>
        </w:rPr>
      </w:pPr>
      <w:bookmarkStart w:id="7" w:name="_Toc121913293"/>
      <w:r w:rsidRPr="008D066C">
        <w:rPr>
          <w:rFonts w:ascii="Bookman Old Style" w:eastAsiaTheme="majorEastAsia" w:hAnsi="Bookman Old Style" w:cstheme="majorBidi"/>
          <w:b/>
          <w:bCs/>
          <w:color w:val="2F5496" w:themeColor="accent1" w:themeShade="BF"/>
        </w:rPr>
        <w:t>Proroga del termine per l’aggiudicazione di interventi edilizia scolastica zero- sei</w:t>
      </w:r>
      <w:bookmarkEnd w:id="7"/>
      <w:r w:rsidRPr="008D066C">
        <w:rPr>
          <w:rFonts w:ascii="Bookman Old Style" w:eastAsiaTheme="majorEastAsia" w:hAnsi="Bookman Old Style" w:cstheme="majorBidi"/>
          <w:b/>
          <w:bCs/>
          <w:color w:val="2F5496" w:themeColor="accent1" w:themeShade="BF"/>
        </w:rPr>
        <w:t xml:space="preserve"> </w:t>
      </w:r>
      <w:r w:rsidR="00191A87">
        <w:rPr>
          <w:rFonts w:ascii="Bookman Old Style" w:eastAsiaTheme="majorEastAsia" w:hAnsi="Bookman Old Style" w:cstheme="majorBidi"/>
          <w:b/>
          <w:bCs/>
          <w:color w:val="2F5496" w:themeColor="accent1" w:themeShade="BF"/>
        </w:rPr>
        <w:t xml:space="preserve">anni </w:t>
      </w:r>
      <w:r w:rsidRPr="005753F8">
        <w:rPr>
          <w:rFonts w:ascii="Bookman Old Style" w:eastAsiaTheme="majorEastAsia" w:hAnsi="Bookman Old Style" w:cstheme="majorBidi"/>
          <w:b/>
          <w:bCs/>
          <w:i/>
          <w:iCs/>
          <w:color w:val="2F5496" w:themeColor="accent1" w:themeShade="BF"/>
        </w:rPr>
        <w:t>(Art. 5, comma 2)</w:t>
      </w:r>
    </w:p>
    <w:p w14:paraId="4EADBC69" w14:textId="77777777" w:rsidR="008D066C" w:rsidRPr="008D066C" w:rsidRDefault="008D066C" w:rsidP="008D066C">
      <w:pPr>
        <w:shd w:val="clear" w:color="auto" w:fill="FFFFFF"/>
        <w:spacing w:after="0" w:line="240" w:lineRule="auto"/>
        <w:jc w:val="both"/>
        <w:rPr>
          <w:rFonts w:ascii="Bookman Old Style" w:hAnsi="Bookman Old Style" w:cs="Calibri"/>
          <w:lang w:eastAsia="it-IT"/>
        </w:rPr>
      </w:pPr>
      <w:r w:rsidRPr="008D066C">
        <w:rPr>
          <w:rFonts w:ascii="Bookman Old Style" w:hAnsi="Bookman Old Style"/>
          <w:color w:val="000000"/>
          <w:bdr w:val="none" w:sz="0" w:space="0" w:color="auto" w:frame="1"/>
        </w:rPr>
        <w:t xml:space="preserve">La norma,  </w:t>
      </w:r>
      <w:r w:rsidRPr="008D066C">
        <w:rPr>
          <w:rFonts w:ascii="Bookman Old Style" w:hAnsi="Bookman Old Style"/>
          <w:b/>
          <w:bCs/>
          <w:color w:val="000000"/>
          <w:bdr w:val="none" w:sz="0" w:space="0" w:color="auto" w:frame="1"/>
        </w:rPr>
        <w:t xml:space="preserve">richiesta dall’ANCI, proroga </w:t>
      </w:r>
      <w:r w:rsidRPr="008D066C">
        <w:rPr>
          <w:rFonts w:ascii="Bookman Old Style" w:hAnsi="Bookman Old Style" w:cs="Calibri"/>
          <w:b/>
          <w:bCs/>
          <w:color w:val="000000"/>
          <w:lang w:eastAsia="it-IT"/>
        </w:rPr>
        <w:t xml:space="preserve">il termine massimo fissato ora al 31 marzo 2023 </w:t>
      </w:r>
      <w:r w:rsidRPr="008D066C">
        <w:rPr>
          <w:rFonts w:ascii="Bookman Old Style" w:hAnsi="Bookman Old Style" w:cs="Calibri"/>
          <w:b/>
          <w:bCs/>
          <w:color w:val="000000"/>
          <w:u w:val="single"/>
          <w:lang w:eastAsia="it-IT"/>
        </w:rPr>
        <w:t>al 31 maggio 2023</w:t>
      </w:r>
      <w:r w:rsidRPr="008D066C">
        <w:rPr>
          <w:rFonts w:ascii="Bookman Old Style" w:hAnsi="Bookman Old Style" w:cs="Calibri"/>
          <w:b/>
          <w:bCs/>
          <w:color w:val="000000"/>
          <w:lang w:eastAsia="it-IT"/>
        </w:rPr>
        <w:t xml:space="preserve"> per l’aggiudicazione degli interventi di messa in sicurezza, ristrutturazione, riqualificazione o costruzione di  asili nido e scuole infanzia</w:t>
      </w:r>
      <w:r w:rsidRPr="008D066C">
        <w:rPr>
          <w:rFonts w:ascii="Bookman Old Style" w:hAnsi="Bookman Old Style" w:cs="Calibri"/>
          <w:color w:val="000000"/>
          <w:lang w:eastAsia="it-IT"/>
        </w:rPr>
        <w:t xml:space="preserve"> di cui al comma 59, L. 160/2019, rientranti nel PNRR, consentendo così agli enti locali </w:t>
      </w:r>
      <w:r w:rsidRPr="008D066C">
        <w:rPr>
          <w:rFonts w:ascii="Bookman Old Style" w:hAnsi="Bookman Old Style" w:cs="Calibri"/>
          <w:color w:val="212121"/>
          <w:lang w:eastAsia="it-IT"/>
        </w:rPr>
        <w:t> beneficiari dei finanziamenti</w:t>
      </w:r>
      <w:r w:rsidRPr="008D066C">
        <w:rPr>
          <w:rFonts w:ascii="Bookman Old Style" w:hAnsi="Bookman Old Style" w:cs="Calibri"/>
          <w:color w:val="000000"/>
          <w:lang w:eastAsia="it-IT"/>
        </w:rPr>
        <w:t xml:space="preserve"> </w:t>
      </w:r>
      <w:r w:rsidRPr="008D066C">
        <w:rPr>
          <w:rFonts w:ascii="Bookman Old Style" w:hAnsi="Bookman Old Style" w:cs="Calibri"/>
          <w:color w:val="212121"/>
          <w:lang w:eastAsia="it-IT"/>
        </w:rPr>
        <w:t>di attuare concretamente gli interventi,</w:t>
      </w:r>
      <w:r w:rsidRPr="008D066C">
        <w:rPr>
          <w:rFonts w:ascii="Bookman Old Style" w:hAnsi="Bookman Old Style" w:cs="Calibri"/>
          <w:color w:val="000000"/>
          <w:lang w:eastAsia="it-IT"/>
        </w:rPr>
        <w:t xml:space="preserve"> anche</w:t>
      </w:r>
      <w:r w:rsidRPr="008D066C">
        <w:rPr>
          <w:rFonts w:ascii="Bookman Old Style" w:hAnsi="Bookman Old Style" w:cs="Calibri"/>
          <w:color w:val="212121"/>
          <w:lang w:eastAsia="it-IT"/>
        </w:rPr>
        <w:t xml:space="preserve"> in considerazi</w:t>
      </w:r>
      <w:r w:rsidRPr="008D066C">
        <w:rPr>
          <w:rFonts w:ascii="Bookman Old Style" w:hAnsi="Bookman Old Style" w:cs="Calibri"/>
          <w:color w:val="000000"/>
          <w:lang w:eastAsia="it-IT"/>
        </w:rPr>
        <w:t xml:space="preserve">one dell’ampio arco temporale registrato dalla pubblicazione </w:t>
      </w:r>
      <w:r w:rsidRPr="008D066C">
        <w:rPr>
          <w:rFonts w:ascii="Bookman Old Style" w:hAnsi="Bookman Old Style" w:cs="Calibri"/>
          <w:color w:val="212121"/>
          <w:lang w:eastAsia="it-IT"/>
        </w:rPr>
        <w:t> </w:t>
      </w:r>
      <w:r w:rsidRPr="008D066C">
        <w:rPr>
          <w:rFonts w:ascii="Bookman Old Style" w:hAnsi="Bookman Old Style" w:cs="Calibri"/>
          <w:color w:val="000000"/>
          <w:lang w:eastAsia="it-IT"/>
        </w:rPr>
        <w:t xml:space="preserve">delle </w:t>
      </w:r>
      <w:r w:rsidRPr="008D066C">
        <w:rPr>
          <w:rFonts w:ascii="Bookman Old Style" w:hAnsi="Bookman Old Style" w:cs="Calibri"/>
          <w:color w:val="212121"/>
          <w:lang w:eastAsia="it-IT"/>
        </w:rPr>
        <w:t xml:space="preserve">graduatorie </w:t>
      </w:r>
      <w:r w:rsidRPr="008D066C">
        <w:rPr>
          <w:rFonts w:ascii="Bookman Old Style" w:hAnsi="Bookman Old Style" w:cs="Calibri"/>
          <w:color w:val="000000"/>
          <w:lang w:eastAsia="it-IT"/>
        </w:rPr>
        <w:t xml:space="preserve">alla sottoscrizione </w:t>
      </w:r>
      <w:r w:rsidRPr="008D066C">
        <w:rPr>
          <w:rFonts w:ascii="Bookman Old Style" w:hAnsi="Bookman Old Style" w:cs="Calibri"/>
          <w:color w:val="212121"/>
          <w:lang w:eastAsia="it-IT"/>
        </w:rPr>
        <w:t> </w:t>
      </w:r>
      <w:r w:rsidRPr="008D066C">
        <w:rPr>
          <w:rFonts w:ascii="Bookman Old Style" w:hAnsi="Bookman Old Style" w:cs="Calibri"/>
          <w:color w:val="000000"/>
          <w:lang w:eastAsia="it-IT"/>
        </w:rPr>
        <w:t xml:space="preserve">degli </w:t>
      </w:r>
      <w:r w:rsidRPr="008D066C">
        <w:rPr>
          <w:rFonts w:ascii="Bookman Old Style" w:hAnsi="Bookman Old Style" w:cs="Calibri"/>
          <w:color w:val="212121"/>
          <w:lang w:eastAsia="it-IT"/>
        </w:rPr>
        <w:t>accordi di concessione</w:t>
      </w:r>
      <w:r w:rsidRPr="008D066C">
        <w:rPr>
          <w:rFonts w:ascii="Bookman Old Style" w:hAnsi="Bookman Old Style" w:cs="Calibri"/>
          <w:color w:val="000000"/>
          <w:lang w:eastAsia="it-IT"/>
        </w:rPr>
        <w:t xml:space="preserve"> del finanziamento. </w:t>
      </w:r>
    </w:p>
    <w:p w14:paraId="7F4F2494" w14:textId="77777777" w:rsidR="008D066C" w:rsidRPr="008D066C" w:rsidRDefault="008D066C" w:rsidP="008D066C">
      <w:pPr>
        <w:autoSpaceDE w:val="0"/>
        <w:autoSpaceDN w:val="0"/>
        <w:spacing w:after="0" w:line="240" w:lineRule="auto"/>
        <w:jc w:val="both"/>
        <w:rPr>
          <w:rFonts w:ascii="Bookman Old Style" w:hAnsi="Bookman Old Style"/>
        </w:rPr>
      </w:pPr>
    </w:p>
    <w:p w14:paraId="1A3B4B43" w14:textId="77777777" w:rsidR="008D066C" w:rsidRPr="005753F8" w:rsidRDefault="008D066C" w:rsidP="008D066C">
      <w:pPr>
        <w:keepNext/>
        <w:keepLines/>
        <w:numPr>
          <w:ilvl w:val="0"/>
          <w:numId w:val="8"/>
        </w:numPr>
        <w:spacing w:before="40" w:after="0" w:line="256" w:lineRule="auto"/>
        <w:contextualSpacing/>
        <w:jc w:val="both"/>
        <w:outlineLvl w:val="1"/>
        <w:rPr>
          <w:rFonts w:ascii="Bookman Old Style" w:eastAsiaTheme="majorEastAsia" w:hAnsi="Bookman Old Style" w:cstheme="majorBidi"/>
          <w:b/>
          <w:bCs/>
          <w:i/>
          <w:iCs/>
          <w:color w:val="2F5496" w:themeColor="accent1" w:themeShade="BF"/>
        </w:rPr>
      </w:pPr>
      <w:bookmarkStart w:id="8" w:name="_Toc121913292"/>
      <w:r w:rsidRPr="008D066C">
        <w:rPr>
          <w:rFonts w:ascii="Bookman Old Style" w:eastAsiaTheme="majorEastAsia" w:hAnsi="Bookman Old Style" w:cstheme="majorBidi"/>
          <w:b/>
          <w:bCs/>
          <w:color w:val="2F5496" w:themeColor="accent1" w:themeShade="BF"/>
        </w:rPr>
        <w:t>Proroga termini per la messa a norma antincendio edifici servizi educativi e scolastici</w:t>
      </w:r>
      <w:bookmarkEnd w:id="8"/>
      <w:r w:rsidRPr="008D066C">
        <w:rPr>
          <w:rFonts w:ascii="Bookman Old Style" w:eastAsiaTheme="majorEastAsia" w:hAnsi="Bookman Old Style" w:cstheme="majorBidi"/>
          <w:b/>
          <w:bCs/>
          <w:color w:val="2F5496" w:themeColor="accent1" w:themeShade="BF"/>
        </w:rPr>
        <w:t xml:space="preserve"> </w:t>
      </w:r>
      <w:r w:rsidRPr="005753F8">
        <w:rPr>
          <w:rFonts w:ascii="Bookman Old Style" w:eastAsiaTheme="majorEastAsia" w:hAnsi="Bookman Old Style" w:cstheme="majorBidi"/>
          <w:b/>
          <w:bCs/>
          <w:i/>
          <w:iCs/>
          <w:color w:val="2F5496" w:themeColor="accent1" w:themeShade="BF"/>
        </w:rPr>
        <w:t>(Art. 5, comma 5)</w:t>
      </w:r>
    </w:p>
    <w:p w14:paraId="248810C3" w14:textId="090B093D" w:rsidR="00B03102" w:rsidRPr="00072501" w:rsidRDefault="008D066C" w:rsidP="00072501">
      <w:pPr>
        <w:spacing w:line="256" w:lineRule="auto"/>
        <w:jc w:val="both"/>
        <w:rPr>
          <w:rFonts w:ascii="Bookman Old Style" w:hAnsi="Bookman Old Style" w:cs="Calibri"/>
          <w:b/>
          <w:bCs/>
        </w:rPr>
      </w:pPr>
      <w:r w:rsidRPr="00F622CB">
        <w:rPr>
          <w:rFonts w:ascii="Bookman Old Style" w:hAnsi="Bookman Old Style" w:cs="Calibri"/>
        </w:rPr>
        <w:t>La norma</w:t>
      </w:r>
      <w:r w:rsidRPr="00F622CB">
        <w:rPr>
          <w:rFonts w:ascii="Bookman Old Style" w:hAnsi="Bookman Old Style" w:cs="Calibri"/>
          <w:b/>
          <w:bCs/>
        </w:rPr>
        <w:t xml:space="preserve"> </w:t>
      </w:r>
      <w:r w:rsidRPr="00F622CB">
        <w:rPr>
          <w:rFonts w:ascii="Bookman Old Style" w:hAnsi="Bookman Old Style" w:cs="Calibri"/>
          <w:b/>
          <w:bCs/>
          <w:u w:val="single"/>
        </w:rPr>
        <w:t>differisce al 31 dicembre 202</w:t>
      </w:r>
      <w:r w:rsidR="00B03102" w:rsidRPr="00F622CB">
        <w:rPr>
          <w:rFonts w:ascii="Bookman Old Style" w:hAnsi="Bookman Old Style" w:cs="Calibri"/>
          <w:b/>
          <w:bCs/>
          <w:u w:val="single"/>
        </w:rPr>
        <w:t>4</w:t>
      </w:r>
      <w:r w:rsidRPr="00F622CB">
        <w:rPr>
          <w:rFonts w:ascii="Bookman Old Style" w:hAnsi="Bookman Old Style" w:cs="Calibri"/>
          <w:b/>
          <w:bCs/>
        </w:rPr>
        <w:t xml:space="preserve"> i termini </w:t>
      </w:r>
      <w:r w:rsidRPr="00F622CB">
        <w:rPr>
          <w:rFonts w:ascii="Bookman Old Style" w:hAnsi="Bookman Old Style"/>
          <w:b/>
          <w:bCs/>
        </w:rPr>
        <w:t>per l’adeguamento alla normativa antincendio per gli edifici scolastici e i locali adibiti a scuola e ad asilo nido.</w:t>
      </w:r>
      <w:r w:rsidR="005D559F" w:rsidRPr="00F622CB">
        <w:rPr>
          <w:rFonts w:ascii="Bookman Old Style" w:hAnsi="Bookman Old Style"/>
          <w:b/>
          <w:bCs/>
        </w:rPr>
        <w:t xml:space="preserve"> </w:t>
      </w:r>
      <w:r w:rsidR="005D559F" w:rsidRPr="00C55198">
        <w:rPr>
          <w:rFonts w:ascii="Bookman Old Style" w:hAnsi="Bookman Old Style"/>
          <w:b/>
          <w:bCs/>
        </w:rPr>
        <w:t>Inoltre</w:t>
      </w:r>
      <w:r w:rsidR="00F622CB" w:rsidRPr="00C55198">
        <w:rPr>
          <w:rFonts w:ascii="Bookman Old Style" w:hAnsi="Bookman Old Style"/>
          <w:b/>
          <w:bCs/>
        </w:rPr>
        <w:t>,</w:t>
      </w:r>
      <w:r w:rsidR="005D559F" w:rsidRPr="00C55198">
        <w:rPr>
          <w:rFonts w:ascii="Bookman Old Style" w:hAnsi="Bookman Old Style"/>
          <w:b/>
          <w:bCs/>
        </w:rPr>
        <w:t xml:space="preserve"> </w:t>
      </w:r>
      <w:r w:rsidR="00286747" w:rsidRPr="00C55198">
        <w:rPr>
          <w:rFonts w:ascii="Bookman Old Style" w:hAnsi="Bookman Old Style"/>
          <w:b/>
          <w:bCs/>
        </w:rPr>
        <w:t>con un emendamento approvato dalle commissioni</w:t>
      </w:r>
      <w:r w:rsidR="00072501" w:rsidRPr="00C55198">
        <w:rPr>
          <w:rFonts w:ascii="Bookman Old Style" w:hAnsi="Bookman Old Style" w:cs="Calibri"/>
          <w:b/>
          <w:bCs/>
        </w:rPr>
        <w:t xml:space="preserve"> viene esteso tale termine </w:t>
      </w:r>
      <w:r w:rsidR="00B03102" w:rsidRPr="00C55198">
        <w:rPr>
          <w:rFonts w:ascii="Bookman Old Style" w:hAnsi="Bookman Old Style"/>
        </w:rPr>
        <w:t>anche per le strutture nell'ambito delle quali sono erogati percorsi di Istruzione e Formazione Professionale (IeFP), Istruzione e formazione tecnica superiore (IFTS), ITS Academy.</w:t>
      </w:r>
      <w:r w:rsidR="00B03102" w:rsidRPr="007B3627">
        <w:rPr>
          <w:rFonts w:ascii="Bookman Old Style" w:hAnsi="Bookman Old Style"/>
        </w:rPr>
        <w:t xml:space="preserve"> </w:t>
      </w:r>
    </w:p>
    <w:p w14:paraId="28359AE8" w14:textId="0037B655" w:rsidR="008D066C" w:rsidRPr="008D066C" w:rsidRDefault="008D066C" w:rsidP="718209F5">
      <w:pPr>
        <w:spacing w:after="0" w:line="240" w:lineRule="auto"/>
        <w:jc w:val="both"/>
        <w:rPr>
          <w:rFonts w:ascii="Bookman Old Style" w:hAnsi="Bookman Old Style"/>
        </w:rPr>
      </w:pPr>
    </w:p>
    <w:p w14:paraId="2B8488A1" w14:textId="77777777" w:rsidR="008D066C" w:rsidRPr="005753F8" w:rsidRDefault="008D066C" w:rsidP="008D066C">
      <w:pPr>
        <w:keepNext/>
        <w:keepLines/>
        <w:numPr>
          <w:ilvl w:val="0"/>
          <w:numId w:val="8"/>
        </w:numPr>
        <w:spacing w:before="40" w:after="0" w:line="256" w:lineRule="auto"/>
        <w:contextualSpacing/>
        <w:jc w:val="both"/>
        <w:outlineLvl w:val="1"/>
        <w:rPr>
          <w:rFonts w:ascii="Bookman Old Style" w:eastAsiaTheme="majorEastAsia" w:hAnsi="Bookman Old Style" w:cstheme="majorBidi"/>
          <w:b/>
          <w:bCs/>
          <w:i/>
          <w:iCs/>
          <w:color w:val="2F5496" w:themeColor="accent1" w:themeShade="BF"/>
        </w:rPr>
      </w:pPr>
      <w:bookmarkStart w:id="9" w:name="_Toc121913291"/>
      <w:r w:rsidRPr="008D066C">
        <w:rPr>
          <w:rFonts w:ascii="Bookman Old Style" w:eastAsiaTheme="majorEastAsia" w:hAnsi="Bookman Old Style" w:cstheme="majorBidi"/>
          <w:b/>
          <w:bCs/>
          <w:color w:val="2F5496" w:themeColor="accent1" w:themeShade="BF"/>
        </w:rPr>
        <w:t>Proroga affidamento incarichi temporanei scuole infanzia paritarie</w:t>
      </w:r>
      <w:bookmarkEnd w:id="9"/>
      <w:r w:rsidRPr="008D066C">
        <w:rPr>
          <w:rFonts w:ascii="Bookman Old Style" w:eastAsiaTheme="majorEastAsia" w:hAnsi="Bookman Old Style" w:cstheme="majorBidi"/>
          <w:b/>
          <w:bCs/>
          <w:color w:val="2F5496" w:themeColor="accent1" w:themeShade="BF"/>
        </w:rPr>
        <w:t xml:space="preserve"> </w:t>
      </w:r>
      <w:r w:rsidRPr="005753F8">
        <w:rPr>
          <w:rFonts w:ascii="Bookman Old Style" w:eastAsiaTheme="majorEastAsia" w:hAnsi="Bookman Old Style" w:cstheme="majorBidi"/>
          <w:b/>
          <w:bCs/>
          <w:i/>
          <w:iCs/>
          <w:color w:val="2F5496" w:themeColor="accent1" w:themeShade="BF"/>
        </w:rPr>
        <w:t>(Art. 5, comma 8)</w:t>
      </w:r>
    </w:p>
    <w:p w14:paraId="167A53DE" w14:textId="77777777" w:rsidR="008D066C" w:rsidRPr="008D066C" w:rsidRDefault="008D066C" w:rsidP="008D066C">
      <w:pPr>
        <w:spacing w:after="0" w:line="240" w:lineRule="auto"/>
        <w:jc w:val="both"/>
        <w:rPr>
          <w:rFonts w:ascii="Bookman Old Style" w:hAnsi="Bookman Old Style"/>
        </w:rPr>
      </w:pPr>
      <w:r w:rsidRPr="008D066C">
        <w:rPr>
          <w:rFonts w:ascii="Bookman Old Style" w:hAnsi="Bookman Old Style"/>
        </w:rPr>
        <w:t xml:space="preserve">La norma, </w:t>
      </w:r>
      <w:r w:rsidRPr="008D066C">
        <w:rPr>
          <w:rFonts w:ascii="Bookman Old Style" w:hAnsi="Bookman Old Style"/>
          <w:b/>
          <w:bCs/>
        </w:rPr>
        <w:t>richiesta dall’ANCI, consente ai Comuni anche per l’anno scolastico 2023/2024, l’affidamento di incarichi temporanei per le sostituzioni nelle scuole dell’infanzia comunali</w:t>
      </w:r>
      <w:r w:rsidRPr="008D066C">
        <w:rPr>
          <w:rFonts w:ascii="Bookman Old Style" w:hAnsi="Bookman Old Style"/>
        </w:rPr>
        <w:t>, attingendo alle graduatorie comunali degli educatori dei servizi educativi, in possesso di titolo idoneo a operare in tali servizi. qualora si verifichi l'impossibilità di reperire personale docente.</w:t>
      </w:r>
    </w:p>
    <w:p w14:paraId="6DF03B25" w14:textId="77777777" w:rsidR="008D066C" w:rsidRPr="008D066C" w:rsidRDefault="008D066C" w:rsidP="008D066C">
      <w:pPr>
        <w:spacing w:after="0" w:line="240" w:lineRule="auto"/>
        <w:jc w:val="both"/>
        <w:rPr>
          <w:rFonts w:ascii="Bookman Old Style" w:hAnsi="Bookman Old Style"/>
        </w:rPr>
      </w:pPr>
    </w:p>
    <w:p w14:paraId="3419EFEE" w14:textId="77777777" w:rsidR="008D066C" w:rsidRPr="008D066C" w:rsidRDefault="008D066C" w:rsidP="008D066C">
      <w:pPr>
        <w:spacing w:after="0" w:line="240" w:lineRule="auto"/>
        <w:jc w:val="both"/>
        <w:rPr>
          <w:rFonts w:ascii="Bookman Old Style" w:hAnsi="Bookman Old Style"/>
        </w:rPr>
      </w:pPr>
    </w:p>
    <w:p w14:paraId="6216501B" w14:textId="77777777" w:rsidR="008D066C" w:rsidRPr="005753F8" w:rsidRDefault="008D066C" w:rsidP="00C55198">
      <w:pPr>
        <w:keepNext/>
        <w:numPr>
          <w:ilvl w:val="0"/>
          <w:numId w:val="8"/>
        </w:numPr>
        <w:spacing w:after="0" w:line="240" w:lineRule="auto"/>
        <w:ind w:left="714" w:hanging="357"/>
        <w:contextualSpacing/>
        <w:jc w:val="both"/>
        <w:rPr>
          <w:rFonts w:ascii="Bookman Old Style" w:eastAsiaTheme="majorEastAsia" w:hAnsi="Bookman Old Style" w:cstheme="majorBidi"/>
          <w:b/>
          <w:bCs/>
          <w:i/>
          <w:iCs/>
          <w:color w:val="2F5496" w:themeColor="accent1" w:themeShade="BF"/>
        </w:rPr>
      </w:pPr>
      <w:r w:rsidRPr="008D066C">
        <w:rPr>
          <w:rFonts w:ascii="Bookman Old Style" w:eastAsiaTheme="majorEastAsia" w:hAnsi="Bookman Old Style" w:cstheme="majorBidi"/>
          <w:b/>
          <w:bCs/>
          <w:color w:val="2F5496" w:themeColor="accent1" w:themeShade="BF"/>
        </w:rPr>
        <w:t xml:space="preserve">Proroga del termine per derogare al numero degli alunni per classe nelle aree colpite da eventi sismici </w:t>
      </w:r>
      <w:r w:rsidRPr="005753F8">
        <w:rPr>
          <w:rFonts w:ascii="Bookman Old Style" w:eastAsiaTheme="majorEastAsia" w:hAnsi="Bookman Old Style" w:cstheme="majorBidi"/>
          <w:b/>
          <w:bCs/>
          <w:i/>
          <w:iCs/>
          <w:color w:val="2F5496" w:themeColor="accent1" w:themeShade="BF"/>
        </w:rPr>
        <w:t xml:space="preserve">(Art. 5, comma 9) </w:t>
      </w:r>
    </w:p>
    <w:p w14:paraId="0D0C0310" w14:textId="167688B3" w:rsidR="008D066C" w:rsidRDefault="008D066C" w:rsidP="008D066C">
      <w:pPr>
        <w:autoSpaceDE w:val="0"/>
        <w:autoSpaceDN w:val="0"/>
        <w:spacing w:after="0" w:line="240" w:lineRule="auto"/>
        <w:jc w:val="both"/>
        <w:rPr>
          <w:rFonts w:ascii="Bookman Old Style" w:hAnsi="Bookman Old Style" w:cs="Times New Roman"/>
          <w:color w:val="000000"/>
        </w:rPr>
      </w:pPr>
      <w:r w:rsidRPr="008D066C">
        <w:rPr>
          <w:rFonts w:ascii="Bookman Old Style" w:hAnsi="Bookman Old Style" w:cs="Times New Roman"/>
          <w:color w:val="000000"/>
        </w:rPr>
        <w:t>La norma proroga all’anno scolastico 2023/2024 la facoltà per i dirigenti degli Uffici scolastici regionali di derogare al numero minimo e massimo di alunni per classe previsto, per ciascun tipo e grado di scuola, dal DPR 81/2009, con riferimento alle istituzioni scolastiche ed educative situate nelle aree colpite dagli eventi sismici verificatisi nei territori delle regioni Abruzzo, Lazio, Marche e Umbria, nonché nei comuni di Casamicciola Terme, Forio e Lacco Ameno dell’Isola di Ischia.</w:t>
      </w:r>
    </w:p>
    <w:p w14:paraId="5C66F745" w14:textId="77777777" w:rsidR="00467302" w:rsidRPr="008D066C" w:rsidRDefault="00467302" w:rsidP="008D066C">
      <w:pPr>
        <w:autoSpaceDE w:val="0"/>
        <w:autoSpaceDN w:val="0"/>
        <w:spacing w:after="0" w:line="240" w:lineRule="auto"/>
        <w:jc w:val="both"/>
        <w:rPr>
          <w:rFonts w:ascii="Bookman Old Style" w:hAnsi="Bookman Old Style"/>
        </w:rPr>
      </w:pPr>
    </w:p>
    <w:p w14:paraId="23896744" w14:textId="77777777" w:rsidR="00467302" w:rsidRPr="005753F8" w:rsidRDefault="00467302" w:rsidP="00467302">
      <w:pPr>
        <w:numPr>
          <w:ilvl w:val="0"/>
          <w:numId w:val="9"/>
        </w:numPr>
        <w:autoSpaceDE w:val="0"/>
        <w:autoSpaceDN w:val="0"/>
        <w:spacing w:after="0" w:line="240" w:lineRule="auto"/>
        <w:contextualSpacing/>
        <w:jc w:val="both"/>
        <w:rPr>
          <w:rFonts w:ascii="Bookman Old Style" w:eastAsiaTheme="majorEastAsia" w:hAnsi="Bookman Old Style" w:cstheme="majorBidi"/>
          <w:b/>
          <w:bCs/>
          <w:i/>
          <w:iCs/>
          <w:color w:val="2F5496" w:themeColor="accent1" w:themeShade="BF"/>
        </w:rPr>
      </w:pPr>
      <w:r w:rsidRPr="005A3A33">
        <w:rPr>
          <w:rFonts w:ascii="Bookman Old Style" w:eastAsiaTheme="majorEastAsia" w:hAnsi="Bookman Old Style" w:cstheme="majorBidi"/>
          <w:b/>
          <w:bCs/>
          <w:color w:val="2F5496" w:themeColor="accent1" w:themeShade="BF"/>
        </w:rPr>
        <w:t xml:space="preserve">Proroga in materia di semplificazioni per lo spettacolo dal vivo  </w:t>
      </w:r>
      <w:r w:rsidRPr="005753F8">
        <w:rPr>
          <w:rFonts w:ascii="Bookman Old Style" w:eastAsiaTheme="majorEastAsia" w:hAnsi="Bookman Old Style" w:cstheme="majorBidi"/>
          <w:b/>
          <w:bCs/>
          <w:i/>
          <w:iCs/>
          <w:color w:val="2F5496" w:themeColor="accent1" w:themeShade="BF"/>
        </w:rPr>
        <w:t>(Art. 7, comma 7 sexies)</w:t>
      </w:r>
    </w:p>
    <w:p w14:paraId="694B6A27" w14:textId="77777777" w:rsidR="00467302" w:rsidRPr="005A3A33" w:rsidRDefault="00467302" w:rsidP="00467302">
      <w:pPr>
        <w:shd w:val="clear" w:color="auto" w:fill="FFFFFF"/>
        <w:spacing w:after="0" w:line="240" w:lineRule="auto"/>
        <w:jc w:val="both"/>
        <w:rPr>
          <w:rFonts w:ascii="Bookman Old Style" w:hAnsi="Bookman Old Style"/>
          <w:color w:val="000000"/>
        </w:rPr>
      </w:pPr>
      <w:r w:rsidRPr="005A3A33">
        <w:rPr>
          <w:rStyle w:val="contentpasted0"/>
          <w:rFonts w:ascii="Bookman Old Style" w:hAnsi="Bookman Old Style"/>
          <w:color w:val="000000"/>
        </w:rPr>
        <w:t xml:space="preserve">L’art. 7, al comma 7 sexies, </w:t>
      </w:r>
      <w:r w:rsidRPr="00D771CD">
        <w:rPr>
          <w:rFonts w:ascii="Bookman Old Style" w:hAnsi="Bookman Old Style"/>
          <w:b/>
          <w:bCs/>
        </w:rPr>
        <w:t>introdotto in Senato</w:t>
      </w:r>
      <w:r w:rsidRPr="005A3A33">
        <w:rPr>
          <w:rFonts w:ascii="Bookman Old Style" w:hAnsi="Bookman Old Style"/>
        </w:rPr>
        <w:t>,</w:t>
      </w:r>
      <w:r w:rsidRPr="005A3A33">
        <w:rPr>
          <w:rStyle w:val="contentpasted0"/>
          <w:rFonts w:ascii="Bookman Old Style" w:hAnsi="Bookman Old Style"/>
          <w:color w:val="000000"/>
        </w:rPr>
        <w:t xml:space="preserve"> estende la vigenza delle disposizioni recate dall’art. 38 bis del decreto legge n.  76/2020 in materia di </w:t>
      </w:r>
      <w:r w:rsidRPr="005A3A33">
        <w:rPr>
          <w:rStyle w:val="contentpasted0"/>
          <w:rFonts w:ascii="Bookman Old Style" w:hAnsi="Bookman Old Style"/>
          <w:color w:val="000000"/>
          <w:u w:val="single"/>
        </w:rPr>
        <w:t>semplificazioni per la realizzazione di spettacoli dal vivo</w:t>
      </w:r>
      <w:r w:rsidRPr="005A3A33">
        <w:rPr>
          <w:rStyle w:val="contentpasted0"/>
          <w:rFonts w:ascii="Bookman Old Style" w:eastAsia="Times New Roman" w:hAnsi="Bookman Old Style" w:cs="Times New Roman"/>
          <w:color w:val="000000"/>
        </w:rPr>
        <w:t xml:space="preserve"> destinati ad un massimo di 1.000 partecipanti, </w:t>
      </w:r>
      <w:r w:rsidRPr="005A3A33">
        <w:rPr>
          <w:rStyle w:val="contentpasted0"/>
          <w:rFonts w:ascii="Bookman Old Style" w:hAnsi="Bookman Old Style"/>
          <w:color w:val="000000"/>
          <w:u w:val="single"/>
        </w:rPr>
        <w:t>sino al 31 dicembre 2023</w:t>
      </w:r>
      <w:r w:rsidRPr="005A3A33">
        <w:rPr>
          <w:rStyle w:val="contentpasted0"/>
          <w:rFonts w:ascii="Bookman Old Style" w:hAnsi="Bookman Old Style"/>
          <w:color w:val="000000"/>
        </w:rPr>
        <w:t>. </w:t>
      </w:r>
    </w:p>
    <w:p w14:paraId="0D343AD4" w14:textId="77777777" w:rsidR="00467302" w:rsidRPr="005A3A33" w:rsidRDefault="00467302" w:rsidP="00467302">
      <w:pPr>
        <w:shd w:val="clear" w:color="auto" w:fill="FFFFFF"/>
        <w:spacing w:after="0" w:line="240" w:lineRule="auto"/>
        <w:jc w:val="both"/>
        <w:rPr>
          <w:rFonts w:ascii="Bookman Old Style" w:hAnsi="Bookman Old Style"/>
          <w:color w:val="000000"/>
        </w:rPr>
      </w:pPr>
      <w:r w:rsidRPr="005A3A33">
        <w:rPr>
          <w:rStyle w:val="contentpasted0"/>
          <w:rFonts w:ascii="Bookman Old Style" w:hAnsi="Bookman Old Style"/>
          <w:color w:val="000000"/>
        </w:rPr>
        <w:t>La norma inoltre estende il campo di applicazione delle semplificazioni, includendovi le proiezioni cinematografiche, ed estende l’orario di svolgimento delle stesse: le semplificazioni si applicano a tutti gli spettacoli dal vivo che comprendono attività culturali quali il teatro, la musica, la danza e il musical e proiezioni cinematografiche che si svolgono in un orario compreso tra le ore 8 e le ore 1.00 (non più le 23).  </w:t>
      </w:r>
    </w:p>
    <w:p w14:paraId="27C196A2" w14:textId="77777777" w:rsidR="00467302" w:rsidRPr="005A3A33" w:rsidRDefault="00467302" w:rsidP="00467302">
      <w:pPr>
        <w:shd w:val="clear" w:color="auto" w:fill="FFFFFF"/>
        <w:spacing w:after="0" w:line="240" w:lineRule="auto"/>
        <w:jc w:val="both"/>
        <w:rPr>
          <w:rFonts w:ascii="Bookman Old Style" w:hAnsi="Bookman Old Style"/>
          <w:color w:val="000000"/>
        </w:rPr>
      </w:pPr>
      <w:r w:rsidRPr="005A3A33">
        <w:rPr>
          <w:rStyle w:val="contentpasted0"/>
          <w:rFonts w:ascii="Bookman Old Style" w:hAnsi="Bookman Old Style"/>
          <w:color w:val="000000"/>
        </w:rPr>
        <w:t>Per la realizzazione di tali spettacoli, dunque, è sufficiente una SCIA presentata dall'interessato al SUAP, con esclusione dei casi in cui sussistono vincoli ambientali, paesaggistici o culturali nel luogo in cui si svolge lo spettacolo in oggetto. </w:t>
      </w:r>
    </w:p>
    <w:p w14:paraId="08AA04A4" w14:textId="77777777" w:rsidR="008D066C" w:rsidRPr="008D066C" w:rsidRDefault="008D066C" w:rsidP="008D066C">
      <w:pPr>
        <w:autoSpaceDE w:val="0"/>
        <w:autoSpaceDN w:val="0"/>
        <w:spacing w:after="0" w:line="240" w:lineRule="auto"/>
        <w:jc w:val="both"/>
        <w:rPr>
          <w:rFonts w:ascii="Bookman Old Style" w:hAnsi="Bookman Old Style"/>
        </w:rPr>
      </w:pPr>
    </w:p>
    <w:p w14:paraId="7D80CC22" w14:textId="77777777" w:rsidR="008D066C" w:rsidRPr="008D066C" w:rsidRDefault="008D066C" w:rsidP="008D066C">
      <w:pPr>
        <w:numPr>
          <w:ilvl w:val="0"/>
          <w:numId w:val="9"/>
        </w:numPr>
        <w:autoSpaceDE w:val="0"/>
        <w:autoSpaceDN w:val="0"/>
        <w:spacing w:after="0" w:line="240" w:lineRule="auto"/>
        <w:contextualSpacing/>
        <w:jc w:val="both"/>
        <w:rPr>
          <w:rFonts w:ascii="Bookman Old Style" w:eastAsiaTheme="majorEastAsia" w:hAnsi="Bookman Old Style" w:cstheme="majorBidi"/>
          <w:b/>
          <w:bCs/>
          <w:color w:val="2F5496" w:themeColor="accent1" w:themeShade="BF"/>
        </w:rPr>
      </w:pPr>
      <w:r w:rsidRPr="008D066C">
        <w:rPr>
          <w:rFonts w:ascii="Bookman Old Style" w:eastAsiaTheme="majorEastAsia" w:hAnsi="Bookman Old Style" w:cstheme="majorBidi"/>
          <w:b/>
          <w:bCs/>
          <w:color w:val="2F5496" w:themeColor="accent1" w:themeShade="BF"/>
        </w:rPr>
        <w:t xml:space="preserve">Proroga in materia di uffici giudiziari </w:t>
      </w:r>
      <w:r w:rsidRPr="005753F8">
        <w:rPr>
          <w:rFonts w:ascii="Bookman Old Style" w:eastAsiaTheme="majorEastAsia" w:hAnsi="Bookman Old Style" w:cstheme="majorBidi"/>
          <w:b/>
          <w:bCs/>
          <w:i/>
          <w:iCs/>
          <w:color w:val="2F5496" w:themeColor="accent1" w:themeShade="BF"/>
        </w:rPr>
        <w:t>(Art. 8, comma 3)</w:t>
      </w:r>
      <w:r w:rsidRPr="008D066C">
        <w:rPr>
          <w:rFonts w:ascii="Bookman Old Style" w:eastAsiaTheme="majorEastAsia" w:hAnsi="Bookman Old Style" w:cstheme="majorBidi"/>
          <w:b/>
          <w:bCs/>
          <w:color w:val="2F5496" w:themeColor="accent1" w:themeShade="BF"/>
        </w:rPr>
        <w:t xml:space="preserve"> </w:t>
      </w:r>
    </w:p>
    <w:p w14:paraId="51243C45" w14:textId="77777777" w:rsidR="008D066C" w:rsidRPr="008D066C" w:rsidRDefault="008D066C" w:rsidP="008D066C">
      <w:pPr>
        <w:autoSpaceDE w:val="0"/>
        <w:autoSpaceDN w:val="0"/>
        <w:adjustRightInd w:val="0"/>
        <w:spacing w:after="0" w:line="240" w:lineRule="auto"/>
        <w:jc w:val="both"/>
        <w:rPr>
          <w:rFonts w:ascii="Bookman Old Style" w:hAnsi="Bookman Old Style" w:cs="Times New Roman"/>
          <w:i/>
          <w:iCs/>
          <w:color w:val="000000"/>
        </w:rPr>
      </w:pPr>
      <w:r w:rsidRPr="008D066C">
        <w:rPr>
          <w:rFonts w:ascii="Bookman Old Style" w:hAnsi="Bookman Old Style" w:cs="Times New Roman"/>
          <w:color w:val="000000"/>
        </w:rPr>
        <w:t xml:space="preserve">La norma </w:t>
      </w:r>
      <w:r w:rsidRPr="008D066C">
        <w:rPr>
          <w:rFonts w:ascii="Bookman Old Style" w:hAnsi="Bookman Old Style" w:cs="Times New Roman"/>
          <w:b/>
          <w:bCs/>
          <w:color w:val="000000"/>
        </w:rPr>
        <w:t xml:space="preserve">proroga di un ulteriore anno (fino al 31 dicembre 2023) </w:t>
      </w:r>
      <w:r w:rsidRPr="008D066C">
        <w:rPr>
          <w:rFonts w:ascii="Bookman Old Style" w:hAnsi="Bookman Old Style" w:cs="Times New Roman"/>
          <w:color w:val="000000"/>
        </w:rPr>
        <w:t xml:space="preserve">la possibilità, per gli uffici giudiziari, di continuare ad avvalersi dei </w:t>
      </w:r>
      <w:r w:rsidRPr="008D066C">
        <w:rPr>
          <w:rFonts w:ascii="Bookman Old Style" w:hAnsi="Bookman Old Style" w:cs="Times New Roman"/>
          <w:b/>
          <w:bCs/>
          <w:color w:val="000000"/>
        </w:rPr>
        <w:t xml:space="preserve">servizi forniti dal personale comunale </w:t>
      </w:r>
      <w:r w:rsidRPr="008D066C">
        <w:rPr>
          <w:rFonts w:ascii="Bookman Old Style" w:hAnsi="Bookman Old Style" w:cs="Times New Roman"/>
          <w:color w:val="000000"/>
        </w:rPr>
        <w:t xml:space="preserve">ivi distaccato o comandato per le attività di custodia, telefonia, riparazione e manutenzione ordinaria. Si tratta di un termine – originariamente fissato al 31 dicembre 2015 - già più volte prorogato dal legislatore </w:t>
      </w:r>
      <w:r w:rsidRPr="008D066C">
        <w:rPr>
          <w:rFonts w:ascii="Bookman Old Style" w:hAnsi="Bookman Old Style" w:cs="Times New Roman"/>
          <w:i/>
          <w:iCs/>
          <w:color w:val="000000"/>
        </w:rPr>
        <w:t>(comma 3, lettera a)).</w:t>
      </w:r>
    </w:p>
    <w:p w14:paraId="76291016" w14:textId="77777777" w:rsidR="008D066C" w:rsidRPr="008D066C" w:rsidRDefault="008D066C" w:rsidP="008D066C">
      <w:pPr>
        <w:autoSpaceDE w:val="0"/>
        <w:autoSpaceDN w:val="0"/>
        <w:adjustRightInd w:val="0"/>
        <w:spacing w:after="0" w:line="240" w:lineRule="auto"/>
        <w:jc w:val="both"/>
        <w:rPr>
          <w:rFonts w:ascii="Bookman Old Style" w:hAnsi="Bookman Old Style" w:cs="Times New Roman"/>
          <w:i/>
          <w:iCs/>
          <w:color w:val="000000"/>
        </w:rPr>
      </w:pPr>
      <w:r w:rsidRPr="008D066C">
        <w:rPr>
          <w:rFonts w:ascii="Bookman Old Style" w:hAnsi="Bookman Old Style"/>
        </w:rPr>
        <w:t xml:space="preserve">La norma inoltre prevede che, anche per l’anno </w:t>
      </w:r>
      <w:r w:rsidRPr="008D066C">
        <w:rPr>
          <w:rFonts w:ascii="Bookman Old Style" w:hAnsi="Bookman Old Style"/>
          <w:b/>
          <w:bCs/>
        </w:rPr>
        <w:t>2023</w:t>
      </w:r>
      <w:r w:rsidRPr="008D066C">
        <w:rPr>
          <w:rFonts w:ascii="Bookman Old Style" w:hAnsi="Bookman Old Style"/>
        </w:rPr>
        <w:t>, così come avvenuto per gli anni dal 2018 al 2022, il Ministero della giustizia possa autorizzare gli uffici giudiziari ad avvalersi del personale comunale secondo i criteri fissati nella convenzione quadro con l’ANCI, nei limiti di importi di spesa pari al 10 per cento di quanto stanziato nel capitolo n. 1551 dello stato di previsione del Ministero nell’esercizio precedente (capitolo istituito ai sensi dell’art. 1, comma 527, della legge n. 190 del 2014), e dunque senza nuovi o maggiori oneri a carico della finanza pubblica</w:t>
      </w:r>
      <w:r w:rsidRPr="008D066C">
        <w:rPr>
          <w:rFonts w:ascii="Bookman Old Style" w:hAnsi="Bookman Old Style" w:cs="Times New Roman"/>
          <w:i/>
          <w:iCs/>
          <w:color w:val="000000"/>
        </w:rPr>
        <w:t xml:space="preserve"> (comma 3, lettera b)).</w:t>
      </w:r>
    </w:p>
    <w:p w14:paraId="4A1D5FC8" w14:textId="77777777" w:rsidR="008D066C" w:rsidRPr="008D066C" w:rsidRDefault="008D066C" w:rsidP="008D066C">
      <w:pPr>
        <w:autoSpaceDE w:val="0"/>
        <w:autoSpaceDN w:val="0"/>
        <w:spacing w:after="0" w:line="240" w:lineRule="auto"/>
        <w:jc w:val="both"/>
        <w:rPr>
          <w:rFonts w:ascii="Bookman Old Style" w:hAnsi="Bookman Old Style"/>
        </w:rPr>
      </w:pPr>
    </w:p>
    <w:p w14:paraId="63F05259" w14:textId="77777777" w:rsidR="008D066C" w:rsidRPr="008D066C" w:rsidRDefault="008D066C" w:rsidP="008D066C">
      <w:pPr>
        <w:numPr>
          <w:ilvl w:val="0"/>
          <w:numId w:val="7"/>
        </w:numPr>
        <w:spacing w:after="0" w:line="240" w:lineRule="auto"/>
        <w:contextualSpacing/>
        <w:rPr>
          <w:rFonts w:ascii="Bookman Old Style" w:eastAsiaTheme="majorEastAsia" w:hAnsi="Bookman Old Style" w:cstheme="majorBidi"/>
          <w:b/>
          <w:bCs/>
          <w:color w:val="2F5496" w:themeColor="accent1" w:themeShade="BF"/>
        </w:rPr>
      </w:pPr>
      <w:r w:rsidRPr="008D066C">
        <w:rPr>
          <w:rFonts w:ascii="Bookman Old Style" w:eastAsiaTheme="majorEastAsia" w:hAnsi="Bookman Old Style" w:cstheme="majorBidi"/>
          <w:b/>
          <w:bCs/>
          <w:color w:val="2F5496" w:themeColor="accent1" w:themeShade="BF"/>
        </w:rPr>
        <w:t xml:space="preserve">Regolarizzazione delle posizioni contributive INPS </w:t>
      </w:r>
      <w:r w:rsidRPr="005753F8">
        <w:rPr>
          <w:rFonts w:ascii="Bookman Old Style" w:eastAsiaTheme="majorEastAsia" w:hAnsi="Bookman Old Style" w:cstheme="majorBidi"/>
          <w:b/>
          <w:bCs/>
          <w:i/>
          <w:iCs/>
          <w:color w:val="2F5496" w:themeColor="accent1" w:themeShade="BF"/>
        </w:rPr>
        <w:t>(Art. 9, comma 1)</w:t>
      </w:r>
    </w:p>
    <w:p w14:paraId="1594003E" w14:textId="77777777" w:rsidR="008D066C" w:rsidRPr="008D066C" w:rsidRDefault="008D066C" w:rsidP="008D066C">
      <w:pPr>
        <w:spacing w:after="0" w:line="240" w:lineRule="auto"/>
        <w:jc w:val="both"/>
        <w:rPr>
          <w:rFonts w:ascii="Bookman Old Style" w:hAnsi="Bookman Old Style"/>
        </w:rPr>
      </w:pPr>
      <w:r w:rsidRPr="008D066C">
        <w:rPr>
          <w:rFonts w:ascii="Bookman Old Style" w:hAnsi="Bookman Old Style"/>
        </w:rPr>
        <w:t xml:space="preserve">La norma, </w:t>
      </w:r>
      <w:r w:rsidRPr="008D066C">
        <w:rPr>
          <w:rFonts w:ascii="Bookman Old Style" w:hAnsi="Bookman Old Style"/>
          <w:b/>
          <w:bCs/>
        </w:rPr>
        <w:t>richiesta dall’ANCI</w:t>
      </w:r>
      <w:r w:rsidRPr="008D066C">
        <w:rPr>
          <w:rFonts w:ascii="Bookman Old Style" w:hAnsi="Bookman Old Style"/>
        </w:rPr>
        <w:t xml:space="preserve">, a seguito delle difficoltà e della complessità delle procedure di revisione delle posizioni contributive segnalate dalle sedi regionali dell’INPS, </w:t>
      </w:r>
      <w:r w:rsidRPr="008D066C">
        <w:rPr>
          <w:rFonts w:ascii="Bookman Old Style" w:hAnsi="Bookman Old Style"/>
          <w:b/>
          <w:bCs/>
        </w:rPr>
        <w:t xml:space="preserve">proroga </w:t>
      </w:r>
      <w:r w:rsidRPr="008D066C">
        <w:rPr>
          <w:rFonts w:ascii="Bookman Old Style" w:hAnsi="Bookman Old Style"/>
          <w:b/>
          <w:bCs/>
          <w:u w:val="single"/>
        </w:rPr>
        <w:t>al 31 dicembre 2023</w:t>
      </w:r>
      <w:r w:rsidRPr="008D066C">
        <w:rPr>
          <w:rFonts w:ascii="Bookman Old Style" w:hAnsi="Bookman Old Style"/>
          <w:b/>
          <w:bCs/>
        </w:rPr>
        <w:t xml:space="preserve"> il termine per la regolarizzazione delle posizioni contributive</w:t>
      </w:r>
      <w:r w:rsidRPr="008D066C">
        <w:rPr>
          <w:rFonts w:ascii="Bookman Old Style" w:hAnsi="Bookman Old Style"/>
        </w:rPr>
        <w:t xml:space="preserve"> di cui all’articolo 3, comma 10-bis, della legge 335/1995, così come modificato dal decreto legge n. 4/2019.</w:t>
      </w:r>
    </w:p>
    <w:p w14:paraId="69DA112E" w14:textId="74F9F8CE" w:rsidR="008D066C" w:rsidRPr="008D066C" w:rsidRDefault="008D066C" w:rsidP="008D066C">
      <w:pPr>
        <w:spacing w:after="0" w:line="240" w:lineRule="auto"/>
        <w:jc w:val="both"/>
        <w:rPr>
          <w:rFonts w:ascii="Bookman Old Style" w:hAnsi="Bookman Old Style"/>
        </w:rPr>
      </w:pPr>
      <w:r w:rsidRPr="008D066C">
        <w:rPr>
          <w:rFonts w:ascii="Bookman Old Style" w:hAnsi="Bookman Old Style"/>
        </w:rPr>
        <w:t>Si ricorda che secondo tale norma per le gestioni previdenziali esclusive e per i fondi per i trattamenti di previdenza, i trattamenti di fine rapporto e i trattamenti di fine servizio amministrati dall'INPS cui sono iscritti i lavoratori dipendenti delle amministrazioni pubbliche di cui al decreto legislativo 30 marzo 2001, n. 165, i termini di prescrizione di cui ai commi 9 e 10, riferiti agli obblighi relativi alle contribuzioni di previdenza e assistenza sociale obbligatoria afferenti ai periodi di competenza fino al 31 dicembre 2017, non si applicano fino al 31 dicembre 2022, fatti salvi gli effetti di provvedimenti giurisdizionali passati in giudicato</w:t>
      </w:r>
      <w:r w:rsidR="00687A52">
        <w:rPr>
          <w:rFonts w:ascii="Bookman Old Style" w:hAnsi="Bookman Old Style"/>
        </w:rPr>
        <w:t>,</w:t>
      </w:r>
      <w:r w:rsidRPr="008D066C">
        <w:rPr>
          <w:rFonts w:ascii="Bookman Old Style" w:hAnsi="Bookman Old Style"/>
        </w:rPr>
        <w:t xml:space="preserve"> nonché il diritto all'integrale trattamento pensionistico del lavoratore.</w:t>
      </w:r>
    </w:p>
    <w:p w14:paraId="6DD1F690" w14:textId="77777777" w:rsidR="008D066C" w:rsidRPr="00B614D8" w:rsidRDefault="008D066C" w:rsidP="008D066C">
      <w:pPr>
        <w:spacing w:after="0" w:line="240" w:lineRule="auto"/>
        <w:rPr>
          <w:rFonts w:ascii="Bookman Old Style" w:eastAsiaTheme="majorEastAsia" w:hAnsi="Bookman Old Style" w:cstheme="majorBidi"/>
          <w:b/>
          <w:bCs/>
          <w:color w:val="2F5496" w:themeColor="accent1" w:themeShade="BF"/>
        </w:rPr>
      </w:pPr>
    </w:p>
    <w:p w14:paraId="2BD8D7E7" w14:textId="77777777" w:rsidR="00B614D8" w:rsidRPr="005753F8" w:rsidRDefault="00B614D8" w:rsidP="00B614D8">
      <w:pPr>
        <w:pStyle w:val="Paragrafoelenco"/>
        <w:numPr>
          <w:ilvl w:val="0"/>
          <w:numId w:val="6"/>
        </w:numPr>
        <w:spacing w:after="0" w:line="240" w:lineRule="auto"/>
        <w:rPr>
          <w:rFonts w:ascii="Bookman Old Style" w:eastAsiaTheme="majorEastAsia" w:hAnsi="Bookman Old Style" w:cstheme="majorBidi"/>
          <w:b/>
          <w:bCs/>
          <w:i/>
          <w:iCs/>
          <w:color w:val="2F5496" w:themeColor="accent1" w:themeShade="BF"/>
        </w:rPr>
      </w:pPr>
      <w:r w:rsidRPr="00C55198">
        <w:rPr>
          <w:rFonts w:ascii="Bookman Old Style" w:eastAsiaTheme="majorEastAsia" w:hAnsi="Bookman Old Style" w:cstheme="majorBidi"/>
          <w:b/>
          <w:bCs/>
          <w:color w:val="2F5496" w:themeColor="accent1" w:themeShade="BF"/>
        </w:rPr>
        <w:t xml:space="preserve">Smart working lavoratori fragili </w:t>
      </w:r>
      <w:r w:rsidRPr="005753F8">
        <w:rPr>
          <w:rFonts w:ascii="Bookman Old Style" w:eastAsiaTheme="majorEastAsia" w:hAnsi="Bookman Old Style" w:cstheme="majorBidi"/>
          <w:b/>
          <w:bCs/>
          <w:i/>
          <w:iCs/>
          <w:color w:val="2F5496" w:themeColor="accent1" w:themeShade="BF"/>
        </w:rPr>
        <w:t>(Art. 9, comma 5 ter)</w:t>
      </w:r>
    </w:p>
    <w:p w14:paraId="38DF7FCD" w14:textId="469BE7DA" w:rsidR="00B614D8" w:rsidRPr="00481509" w:rsidRDefault="00904A1F" w:rsidP="00B614D8">
      <w:pPr>
        <w:spacing w:after="40"/>
        <w:jc w:val="both"/>
        <w:rPr>
          <w:rFonts w:ascii="Bookman Old Style" w:eastAsia="Times New Roman" w:hAnsi="Bookman Old Style" w:cs="Times New Roman"/>
          <w:color w:val="000000" w:themeColor="text1"/>
          <w:lang w:eastAsia="it-IT"/>
        </w:rPr>
      </w:pPr>
      <w:r w:rsidRPr="005A3A33">
        <w:rPr>
          <w:rFonts w:ascii="Bookman Old Style" w:hAnsi="Bookman Old Style"/>
          <w:b/>
          <w:bCs/>
        </w:rPr>
        <w:t>La norma</w:t>
      </w:r>
      <w:r w:rsidRPr="005A3A33">
        <w:rPr>
          <w:rFonts w:ascii="Bookman Old Style" w:hAnsi="Bookman Old Style"/>
        </w:rPr>
        <w:t xml:space="preserve">, </w:t>
      </w:r>
      <w:r w:rsidRPr="005A3A33">
        <w:rPr>
          <w:rFonts w:ascii="Bookman Old Style" w:hAnsi="Bookman Old Style"/>
          <w:b/>
          <w:bCs/>
        </w:rPr>
        <w:t>approvata in Senato</w:t>
      </w:r>
      <w:r w:rsidR="00B614D8" w:rsidRPr="00C55198">
        <w:rPr>
          <w:rFonts w:ascii="Bookman Old Style" w:eastAsia="Times New Roman" w:hAnsi="Bookman Old Style" w:cs="Times New Roman"/>
          <w:color w:val="000000" w:themeColor="text1"/>
          <w:lang w:eastAsia="it-IT"/>
        </w:rPr>
        <w:t xml:space="preserve">, concerne l'applicazione, fino al 30 giugno p.v, dell'istituto del lavoro in modalità agile per i dipendenti, pubblici e privati, rientranti nelle situazioni di fragilità di cui al D.M. 4 febbraio 2022. </w:t>
      </w:r>
    </w:p>
    <w:p w14:paraId="0AA9581B" w14:textId="77777777" w:rsidR="002E522B" w:rsidRDefault="002E522B" w:rsidP="002E522B">
      <w:pPr>
        <w:spacing w:after="0" w:line="240" w:lineRule="auto"/>
        <w:rPr>
          <w:rFonts w:ascii="Bookman Old Style" w:hAnsi="Bookman Old Style"/>
        </w:rPr>
      </w:pPr>
    </w:p>
    <w:p w14:paraId="2AECDEE3" w14:textId="20EE9FE8" w:rsidR="008D066C" w:rsidRDefault="008D066C" w:rsidP="008D066C">
      <w:pPr>
        <w:spacing w:after="0" w:line="240" w:lineRule="auto"/>
        <w:rPr>
          <w:rFonts w:ascii="Bookman Old Style" w:eastAsia="Times New Roman" w:hAnsi="Bookman Old Style"/>
        </w:rPr>
      </w:pPr>
    </w:p>
    <w:p w14:paraId="7D79549B" w14:textId="77777777" w:rsidR="007C3808" w:rsidRPr="008D066C" w:rsidRDefault="007C3808" w:rsidP="008D066C">
      <w:pPr>
        <w:spacing w:after="0" w:line="240" w:lineRule="auto"/>
        <w:rPr>
          <w:rFonts w:ascii="Bookman Old Style" w:eastAsia="Times New Roman" w:hAnsi="Bookman Old Style"/>
        </w:rPr>
      </w:pPr>
    </w:p>
    <w:p w14:paraId="5C2F6595" w14:textId="77777777" w:rsidR="008D066C" w:rsidRPr="005753F8" w:rsidRDefault="008D066C" w:rsidP="008D066C">
      <w:pPr>
        <w:numPr>
          <w:ilvl w:val="0"/>
          <w:numId w:val="7"/>
        </w:numPr>
        <w:autoSpaceDE w:val="0"/>
        <w:autoSpaceDN w:val="0"/>
        <w:spacing w:after="0" w:line="240" w:lineRule="auto"/>
        <w:contextualSpacing/>
        <w:jc w:val="both"/>
        <w:rPr>
          <w:rFonts w:ascii="Bookman Old Style" w:eastAsiaTheme="majorEastAsia" w:hAnsi="Bookman Old Style" w:cstheme="majorBidi"/>
          <w:b/>
          <w:bCs/>
          <w:i/>
          <w:iCs/>
          <w:color w:val="2F5496" w:themeColor="accent1" w:themeShade="BF"/>
        </w:rPr>
      </w:pPr>
      <w:bookmarkStart w:id="10" w:name="_Hlk124331137"/>
      <w:r w:rsidRPr="008D066C">
        <w:rPr>
          <w:rFonts w:ascii="Bookman Old Style" w:eastAsiaTheme="majorEastAsia" w:hAnsi="Bookman Old Style" w:cstheme="majorBidi"/>
          <w:b/>
          <w:bCs/>
          <w:color w:val="2F5496" w:themeColor="accent1" w:themeShade="BF"/>
        </w:rPr>
        <w:lastRenderedPageBreak/>
        <w:t xml:space="preserve">Proroga divieto circolazione veicoli a motore euro 2, categorie M2 e M3, adibiti a servizi di trasporto pubblico </w:t>
      </w:r>
      <w:r w:rsidRPr="005753F8">
        <w:rPr>
          <w:rFonts w:ascii="Bookman Old Style" w:eastAsiaTheme="majorEastAsia" w:hAnsi="Bookman Old Style" w:cstheme="majorBidi"/>
          <w:b/>
          <w:bCs/>
          <w:i/>
          <w:iCs/>
          <w:color w:val="2F5496" w:themeColor="accent1" w:themeShade="BF"/>
        </w:rPr>
        <w:t>(Art. 10, comma 1)</w:t>
      </w:r>
    </w:p>
    <w:bookmarkEnd w:id="10"/>
    <w:p w14:paraId="2158EB09" w14:textId="77777777" w:rsidR="008D066C" w:rsidRPr="008D066C" w:rsidRDefault="008D066C" w:rsidP="008D066C">
      <w:pPr>
        <w:spacing w:after="0" w:line="240" w:lineRule="auto"/>
        <w:jc w:val="both"/>
        <w:rPr>
          <w:rFonts w:ascii="Bookman Old Style" w:hAnsi="Bookman Old Style" w:cs="Times New Roman"/>
        </w:rPr>
      </w:pPr>
      <w:r w:rsidRPr="008D066C">
        <w:rPr>
          <w:rFonts w:ascii="Bookman Old Style" w:hAnsi="Bookman Old Style" w:cs="Times New Roman"/>
        </w:rPr>
        <w:t>La norma modifica l'articolo 4, comma 3-</w:t>
      </w:r>
      <w:r w:rsidRPr="008D066C">
        <w:rPr>
          <w:rFonts w:ascii="Bookman Old Style" w:hAnsi="Bookman Old Style" w:cs="Times New Roman"/>
          <w:i/>
          <w:iCs/>
        </w:rPr>
        <w:t>bis</w:t>
      </w:r>
      <w:r w:rsidRPr="008D066C">
        <w:rPr>
          <w:rFonts w:ascii="Bookman Old Style" w:hAnsi="Bookman Old Style" w:cs="Times New Roman"/>
        </w:rPr>
        <w:t>, del decreto-legge 121 del 2021, al fine di prevedere che il divieto di circolazione per veicoli a motore delle categorie M2 e M3, adibiti a servizi di trasporto pubblico locale, alimentati a benzina o gasolio con caratteristiche antinquinamento Euro 2 operi a decorrere dal 1° gennaio 2024.</w:t>
      </w:r>
    </w:p>
    <w:p w14:paraId="2E894DFE" w14:textId="77777777" w:rsidR="008D066C" w:rsidRPr="008D066C" w:rsidRDefault="008D066C" w:rsidP="008D066C">
      <w:pPr>
        <w:spacing w:after="0" w:line="240" w:lineRule="auto"/>
        <w:jc w:val="both"/>
        <w:rPr>
          <w:rFonts w:ascii="Bookman Old Style" w:hAnsi="Bookman Old Style" w:cs="Times New Roman"/>
        </w:rPr>
      </w:pPr>
    </w:p>
    <w:p w14:paraId="6481C73D" w14:textId="77777777" w:rsidR="008D066C" w:rsidRPr="00CA59BC" w:rsidRDefault="008D066C" w:rsidP="008D066C">
      <w:pPr>
        <w:numPr>
          <w:ilvl w:val="0"/>
          <w:numId w:val="7"/>
        </w:numPr>
        <w:autoSpaceDE w:val="0"/>
        <w:autoSpaceDN w:val="0"/>
        <w:spacing w:after="0" w:line="240" w:lineRule="auto"/>
        <w:contextualSpacing/>
        <w:jc w:val="both"/>
        <w:rPr>
          <w:rFonts w:ascii="Bookman Old Style" w:eastAsiaTheme="majorEastAsia" w:hAnsi="Bookman Old Style" w:cstheme="majorBidi"/>
          <w:b/>
          <w:bCs/>
          <w:i/>
          <w:iCs/>
          <w:color w:val="2F5496" w:themeColor="accent1" w:themeShade="BF"/>
        </w:rPr>
      </w:pPr>
      <w:r w:rsidRPr="008D066C">
        <w:rPr>
          <w:rFonts w:ascii="Bookman Old Style" w:eastAsiaTheme="majorEastAsia" w:hAnsi="Bookman Old Style" w:cstheme="majorBidi"/>
          <w:b/>
          <w:bCs/>
          <w:color w:val="2F5496" w:themeColor="accent1" w:themeShade="BF"/>
        </w:rPr>
        <w:t xml:space="preserve">Incentivazione investimenti pubblici in relazione ai contratti pubblici sopra soglia </w:t>
      </w:r>
      <w:r w:rsidRPr="00CA59BC">
        <w:rPr>
          <w:rFonts w:ascii="Bookman Old Style" w:eastAsiaTheme="majorEastAsia" w:hAnsi="Bookman Old Style" w:cstheme="majorBidi"/>
          <w:b/>
          <w:bCs/>
          <w:i/>
          <w:iCs/>
          <w:color w:val="2F5496" w:themeColor="accent1" w:themeShade="BF"/>
        </w:rPr>
        <w:t>(Art. 10, comma 8)</w:t>
      </w:r>
    </w:p>
    <w:p w14:paraId="61C55151" w14:textId="77777777" w:rsidR="008D066C" w:rsidRPr="008D066C" w:rsidRDefault="008D066C" w:rsidP="008D066C">
      <w:pPr>
        <w:spacing w:after="0" w:line="240" w:lineRule="auto"/>
        <w:jc w:val="both"/>
        <w:rPr>
          <w:rFonts w:ascii="Bookman Old Style" w:hAnsi="Bookman Old Style"/>
        </w:rPr>
      </w:pPr>
      <w:r w:rsidRPr="008D066C">
        <w:rPr>
          <w:rFonts w:ascii="Bookman Old Style" w:hAnsi="Bookman Old Style"/>
          <w:b/>
          <w:bCs/>
        </w:rPr>
        <w:t xml:space="preserve">La norma proroga l’applicabilità fino al 30 settembre 2023 </w:t>
      </w:r>
      <w:r w:rsidRPr="008D066C">
        <w:rPr>
          <w:rFonts w:ascii="Bookman Old Style" w:hAnsi="Bookman Old Style"/>
        </w:rPr>
        <w:t xml:space="preserve">della possibilità di ricorrere alla </w:t>
      </w:r>
      <w:r w:rsidRPr="008D066C">
        <w:rPr>
          <w:rFonts w:ascii="Bookman Old Style" w:hAnsi="Bookman Old Style"/>
          <w:b/>
          <w:bCs/>
        </w:rPr>
        <w:t>procedura negoziata,</w:t>
      </w:r>
      <w:r w:rsidRPr="008D066C">
        <w:rPr>
          <w:rFonts w:ascii="Bookman Old Style" w:hAnsi="Bookman Old Style"/>
        </w:rPr>
        <w:t xml:space="preserve"> ex art. 63 del d.lgs. 50/2016, per l'affidamento delle attività di esecuzione di lavori, servizi e forniture di importo pari o superiore alle soglie comunitarie di cui al Codice dei Contratti Pubblici (ex art. 2, comma 3, del dl 76/2020) anche agli operatori economici con sede operativa collocata in aree di crisi industriale che abbiano acquistato, nei dodici mesi successivi alla cessazione dello stato di emergenza da COVID–19, stabilimenti o aziende ubicate in dette aree.</w:t>
      </w:r>
    </w:p>
    <w:p w14:paraId="7F9A638A" w14:textId="77777777" w:rsidR="00E15E9A" w:rsidRPr="007B3627" w:rsidRDefault="00E15E9A" w:rsidP="00E15E9A">
      <w:pPr>
        <w:spacing w:after="0" w:line="240" w:lineRule="auto"/>
        <w:jc w:val="both"/>
        <w:rPr>
          <w:rFonts w:ascii="Bookman Old Style" w:hAnsi="Bookman Old Style"/>
        </w:rPr>
      </w:pPr>
    </w:p>
    <w:p w14:paraId="32966596" w14:textId="77777777" w:rsidR="000A6AC3" w:rsidRPr="00CA59BC" w:rsidRDefault="000A6AC3" w:rsidP="000A6AC3">
      <w:pPr>
        <w:pStyle w:val="Paragrafoelenco"/>
        <w:numPr>
          <w:ilvl w:val="0"/>
          <w:numId w:val="5"/>
        </w:numPr>
        <w:spacing w:after="0" w:line="240" w:lineRule="auto"/>
        <w:rPr>
          <w:rFonts w:ascii="Bookman Old Style" w:eastAsiaTheme="majorEastAsia" w:hAnsi="Bookman Old Style" w:cstheme="majorBidi"/>
          <w:b/>
          <w:bCs/>
          <w:i/>
          <w:iCs/>
          <w:color w:val="2F5496" w:themeColor="accent1" w:themeShade="BF"/>
        </w:rPr>
      </w:pPr>
      <w:r w:rsidRPr="00C55198">
        <w:rPr>
          <w:rFonts w:ascii="Bookman Old Style" w:eastAsiaTheme="majorEastAsia" w:hAnsi="Bookman Old Style" w:cstheme="majorBidi"/>
          <w:b/>
          <w:bCs/>
          <w:color w:val="2F5496" w:themeColor="accent1" w:themeShade="BF"/>
        </w:rPr>
        <w:t xml:space="preserve">PIAO </w:t>
      </w:r>
      <w:r w:rsidRPr="00CA59BC">
        <w:rPr>
          <w:rFonts w:ascii="Bookman Old Style" w:eastAsiaTheme="majorEastAsia" w:hAnsi="Bookman Old Style" w:cstheme="majorBidi"/>
          <w:b/>
          <w:bCs/>
          <w:i/>
          <w:iCs/>
          <w:color w:val="2F5496" w:themeColor="accent1" w:themeShade="BF"/>
        </w:rPr>
        <w:t>(Art. 10, commi 11 bis e 11 ter)</w:t>
      </w:r>
    </w:p>
    <w:p w14:paraId="4EC4003C" w14:textId="2AB92655" w:rsidR="000A6AC3" w:rsidRPr="00680294" w:rsidRDefault="000A6AC3" w:rsidP="000A6AC3">
      <w:pPr>
        <w:spacing w:after="0" w:line="240" w:lineRule="auto"/>
        <w:jc w:val="both"/>
        <w:rPr>
          <w:rFonts w:ascii="Bookman Old Style" w:hAnsi="Bookman Old Style"/>
          <w:b/>
          <w:bCs/>
        </w:rPr>
      </w:pPr>
      <w:r w:rsidRPr="00C55198">
        <w:rPr>
          <w:rFonts w:ascii="Bookman Old Style" w:hAnsi="Bookman Old Style"/>
          <w:b/>
          <w:bCs/>
        </w:rPr>
        <w:t>L</w:t>
      </w:r>
      <w:r w:rsidR="002C4F0C">
        <w:rPr>
          <w:rFonts w:ascii="Bookman Old Style" w:hAnsi="Bookman Old Style"/>
          <w:b/>
          <w:bCs/>
        </w:rPr>
        <w:t xml:space="preserve">a norma </w:t>
      </w:r>
      <w:r w:rsidR="002C4F0C">
        <w:rPr>
          <w:rFonts w:ascii="Bookman Old Style" w:hAnsi="Bookman Old Style"/>
        </w:rPr>
        <w:t xml:space="preserve"> </w:t>
      </w:r>
      <w:r w:rsidR="002C4F0C" w:rsidRPr="00905FA7">
        <w:rPr>
          <w:rFonts w:ascii="Bookman Old Style" w:hAnsi="Bookman Old Style"/>
          <w:b/>
          <w:bCs/>
        </w:rPr>
        <w:t>approvata in Senato</w:t>
      </w:r>
      <w:r w:rsidRPr="00C55198">
        <w:rPr>
          <w:rFonts w:ascii="Bookman Old Style" w:hAnsi="Bookman Old Style"/>
          <w:b/>
          <w:bCs/>
        </w:rPr>
        <w:t>,</w:t>
      </w:r>
      <w:r w:rsidRPr="00C55198">
        <w:rPr>
          <w:rFonts w:ascii="Bookman Old Style" w:hAnsi="Bookman Old Style"/>
        </w:rPr>
        <w:t xml:space="preserve"> differisce al 31 marzo 2023 i termini per l'adozione del PIAO. </w:t>
      </w:r>
      <w:r w:rsidRPr="00C55198">
        <w:rPr>
          <w:rFonts w:ascii="Bookman Old Style" w:hAnsi="Bookman Old Style"/>
          <w:b/>
          <w:bCs/>
        </w:rPr>
        <w:t>Si precisa che per gli Enti locali vale comunque quanto previsto dall’art. 8, comma 2, del DM n. 132/2022, secondo cui  “</w:t>
      </w:r>
      <w:r w:rsidRPr="00C55198">
        <w:rPr>
          <w:rFonts w:ascii="Bookman Old Style" w:hAnsi="Bookman Old Style"/>
          <w:b/>
          <w:bCs/>
          <w:i/>
          <w:iCs/>
        </w:rPr>
        <w:t>In ogni caso di differimento del termine previsto a legislazione vigente per l’approvazione dei bilanci di previsione, il termine (per l’adozione del PIAO), è differito di trenta giorni successivi a quello di approvazione dei bilanci.</w:t>
      </w:r>
      <w:r w:rsidRPr="00C55198">
        <w:rPr>
          <w:rFonts w:ascii="Bookman Old Style" w:hAnsi="Bookman Old Style"/>
          <w:b/>
          <w:bCs/>
        </w:rPr>
        <w:t>”</w:t>
      </w:r>
    </w:p>
    <w:p w14:paraId="5049E858" w14:textId="77777777" w:rsidR="000A6AC3" w:rsidRPr="0020704E" w:rsidRDefault="000A6AC3" w:rsidP="000A6AC3">
      <w:pPr>
        <w:spacing w:after="0" w:line="240" w:lineRule="auto"/>
        <w:jc w:val="both"/>
        <w:rPr>
          <w:rFonts w:ascii="Bookman Old Style" w:hAnsi="Bookman Old Style"/>
        </w:rPr>
      </w:pPr>
      <w:r w:rsidRPr="00C55198">
        <w:rPr>
          <w:rFonts w:ascii="Bookman Old Style" w:hAnsi="Bookman Old Style"/>
        </w:rPr>
        <w:t xml:space="preserve">Inoltre le nuove disposizioni </w:t>
      </w:r>
      <w:r w:rsidRPr="00C55198">
        <w:rPr>
          <w:rFonts w:ascii="Bookman Old Style" w:hAnsi="Bookman Old Style"/>
          <w:b/>
          <w:bCs/>
          <w:u w:val="single"/>
        </w:rPr>
        <w:t>confermano</w:t>
      </w:r>
      <w:r w:rsidRPr="00C55198">
        <w:rPr>
          <w:rFonts w:ascii="Bookman Old Style" w:hAnsi="Bookman Old Style"/>
        </w:rPr>
        <w:t xml:space="preserve"> la possibilità di effettuare assunzioni a tempo determinato anche in condizione di esercizio provvisorio.</w:t>
      </w:r>
    </w:p>
    <w:p w14:paraId="12A37506" w14:textId="77777777" w:rsidR="002C4F0C" w:rsidRPr="007B3627" w:rsidRDefault="002C4F0C" w:rsidP="002C4F0C">
      <w:pPr>
        <w:spacing w:after="0" w:line="240" w:lineRule="auto"/>
        <w:jc w:val="both"/>
        <w:rPr>
          <w:rFonts w:ascii="Bookman Old Style" w:hAnsi="Bookman Old Style"/>
        </w:rPr>
      </w:pPr>
    </w:p>
    <w:p w14:paraId="23CD3448" w14:textId="77777777" w:rsidR="002C4F0C" w:rsidRPr="00CA59BC" w:rsidRDefault="002C4F0C" w:rsidP="002C4F0C">
      <w:pPr>
        <w:pStyle w:val="Paragrafoelenco"/>
        <w:numPr>
          <w:ilvl w:val="0"/>
          <w:numId w:val="5"/>
        </w:numPr>
        <w:spacing w:after="0" w:line="240" w:lineRule="auto"/>
        <w:jc w:val="both"/>
        <w:rPr>
          <w:rFonts w:ascii="Bookman Old Style" w:eastAsiaTheme="majorEastAsia" w:hAnsi="Bookman Old Style" w:cstheme="majorBidi"/>
          <w:b/>
          <w:bCs/>
          <w:i/>
          <w:iCs/>
          <w:color w:val="2F5496" w:themeColor="accent1" w:themeShade="BF"/>
        </w:rPr>
      </w:pPr>
      <w:r w:rsidRPr="00C55198">
        <w:rPr>
          <w:rFonts w:ascii="Bookman Old Style" w:eastAsiaTheme="majorEastAsia" w:hAnsi="Bookman Old Style" w:cstheme="majorBidi"/>
          <w:b/>
          <w:bCs/>
          <w:color w:val="2F5496" w:themeColor="accent1" w:themeShade="BF"/>
        </w:rPr>
        <w:t xml:space="preserve">Proroga termini affidamenti lavori Comuni per messa in sicurezza edifici </w:t>
      </w:r>
      <w:r w:rsidRPr="00CA59BC">
        <w:rPr>
          <w:rFonts w:ascii="Bookman Old Style" w:eastAsiaTheme="majorEastAsia" w:hAnsi="Bookman Old Style" w:cstheme="majorBidi"/>
          <w:b/>
          <w:bCs/>
          <w:i/>
          <w:iCs/>
          <w:color w:val="2F5496" w:themeColor="accent1" w:themeShade="BF"/>
        </w:rPr>
        <w:t>(Art. 10 bis)</w:t>
      </w:r>
    </w:p>
    <w:p w14:paraId="125B847A" w14:textId="77777777" w:rsidR="002C4F0C" w:rsidRPr="00503EF3" w:rsidRDefault="002C4F0C" w:rsidP="002C4F0C">
      <w:pPr>
        <w:jc w:val="both"/>
        <w:rPr>
          <w:rFonts w:ascii="Bookman Old Style" w:hAnsi="Bookman Old Style"/>
        </w:rPr>
      </w:pPr>
      <w:r w:rsidRPr="00C55198">
        <w:rPr>
          <w:rFonts w:ascii="Bookman Old Style" w:hAnsi="Bookman Old Style"/>
          <w:b/>
          <w:bCs/>
        </w:rPr>
        <w:t>L</w:t>
      </w:r>
      <w:r>
        <w:rPr>
          <w:rFonts w:ascii="Bookman Old Style" w:hAnsi="Bookman Old Style"/>
          <w:b/>
          <w:bCs/>
        </w:rPr>
        <w:t xml:space="preserve">a </w:t>
      </w:r>
      <w:r w:rsidRPr="00C23158">
        <w:rPr>
          <w:rFonts w:ascii="Bookman Old Style" w:hAnsi="Bookman Old Style"/>
          <w:b/>
          <w:bCs/>
        </w:rPr>
        <w:t>norma  approvata in Senato</w:t>
      </w:r>
      <w:r w:rsidRPr="00C55198">
        <w:rPr>
          <w:rFonts w:ascii="Bookman Old Style" w:hAnsi="Bookman Old Style"/>
        </w:rPr>
        <w:t xml:space="preserve">, </w:t>
      </w:r>
      <w:r w:rsidRPr="00C55198">
        <w:rPr>
          <w:rFonts w:ascii="Bookman Old Style" w:hAnsi="Bookman Old Style"/>
          <w:b/>
          <w:bCs/>
        </w:rPr>
        <w:t xml:space="preserve">prevede che la proroga </w:t>
      </w:r>
      <w:r w:rsidRPr="00C55198">
        <w:rPr>
          <w:rFonts w:ascii="Bookman Old Style" w:hAnsi="Bookman Old Style"/>
        </w:rPr>
        <w:t>dei termini per l'affidamento dei lavori di realizzazione delle opere pubbliche di messa in sicurezza degli edifici e del territorio dei Comuni (di cui all’articolo 1 comma 143 della legge 145 del 2018-legge di bilancio 2019),</w:t>
      </w:r>
      <w:r w:rsidRPr="00C55198">
        <w:rPr>
          <w:rFonts w:ascii="Bookman Old Style" w:hAnsi="Bookman Old Style"/>
          <w:b/>
          <w:bCs/>
        </w:rPr>
        <w:t xml:space="preserve"> </w:t>
      </w:r>
      <w:r w:rsidRPr="00C55198">
        <w:rPr>
          <w:rFonts w:ascii="Bookman Old Style" w:hAnsi="Bookman Old Style"/>
        </w:rPr>
        <w:t>già stabilita al 31 marzo 2023 dal d.l. aiuti quater, sia estesa agli  interventi che scadono tra il 1° gennaio 2022 e il 31 dicembre 2022.</w:t>
      </w:r>
    </w:p>
    <w:p w14:paraId="46A32216" w14:textId="348C2F5C" w:rsidR="002C4F0C" w:rsidRDefault="002C4F0C" w:rsidP="008D066C">
      <w:pPr>
        <w:spacing w:after="0" w:line="240" w:lineRule="auto"/>
        <w:jc w:val="both"/>
        <w:rPr>
          <w:rFonts w:ascii="Bookman Old Style" w:eastAsia="Times New Roman" w:hAnsi="Bookman Old Style"/>
        </w:rPr>
      </w:pPr>
    </w:p>
    <w:p w14:paraId="28CA7A86" w14:textId="0E5B6BD4" w:rsidR="00905FA7" w:rsidRDefault="00905FA7" w:rsidP="00905FA7">
      <w:pPr>
        <w:pStyle w:val="Paragrafoelenco"/>
        <w:numPr>
          <w:ilvl w:val="0"/>
          <w:numId w:val="5"/>
        </w:numPr>
        <w:spacing w:after="0" w:line="240" w:lineRule="auto"/>
        <w:rPr>
          <w:rFonts w:ascii="Bookman Old Style" w:eastAsiaTheme="majorEastAsia" w:hAnsi="Bookman Old Style" w:cstheme="majorBidi"/>
          <w:b/>
          <w:bCs/>
          <w:color w:val="2F5496" w:themeColor="accent1" w:themeShade="BF"/>
        </w:rPr>
      </w:pPr>
      <w:r w:rsidRPr="005A3A33">
        <w:rPr>
          <w:rFonts w:ascii="Bookman Old Style" w:eastAsiaTheme="majorEastAsia" w:hAnsi="Bookman Old Style" w:cstheme="majorBidi"/>
          <w:b/>
          <w:bCs/>
          <w:color w:val="2F5496" w:themeColor="accent1" w:themeShade="BF"/>
        </w:rPr>
        <w:t xml:space="preserve">Concessioni demaniali marittime </w:t>
      </w:r>
      <w:r w:rsidRPr="00CA59BC">
        <w:rPr>
          <w:rFonts w:ascii="Bookman Old Style" w:eastAsiaTheme="majorEastAsia" w:hAnsi="Bookman Old Style" w:cstheme="majorBidi"/>
          <w:b/>
          <w:bCs/>
          <w:i/>
          <w:iCs/>
          <w:color w:val="2F5496" w:themeColor="accent1" w:themeShade="BF"/>
        </w:rPr>
        <w:t>(Art.1 comma 8 ddl di conversione; art. 10 ter; art. 10 quater; art. 12, comma 6 sexies)</w:t>
      </w:r>
    </w:p>
    <w:p w14:paraId="7ACB302E" w14:textId="049E008B" w:rsidR="00905FA7" w:rsidRPr="001E6448" w:rsidRDefault="00EB3C35" w:rsidP="00905FA7">
      <w:pPr>
        <w:spacing w:after="0" w:line="240" w:lineRule="auto"/>
        <w:rPr>
          <w:rFonts w:ascii="Bookman Old Style" w:eastAsiaTheme="majorEastAsia" w:hAnsi="Bookman Old Style" w:cstheme="majorBidi"/>
          <w:b/>
          <w:bCs/>
        </w:rPr>
      </w:pPr>
      <w:r w:rsidRPr="00C34B5A">
        <w:rPr>
          <w:rFonts w:ascii="Bookman Old Style" w:eastAsiaTheme="majorEastAsia" w:hAnsi="Bookman Old Style" w:cstheme="majorBidi"/>
        </w:rPr>
        <w:t>Sull</w:t>
      </w:r>
      <w:r w:rsidR="00C34B5A" w:rsidRPr="00C34B5A">
        <w:rPr>
          <w:rFonts w:ascii="Bookman Old Style" w:eastAsiaTheme="majorEastAsia" w:hAnsi="Bookman Old Style" w:cstheme="majorBidi"/>
        </w:rPr>
        <w:t>e</w:t>
      </w:r>
      <w:r w:rsidRPr="00C34B5A">
        <w:rPr>
          <w:rFonts w:ascii="Bookman Old Style" w:eastAsiaTheme="majorEastAsia" w:hAnsi="Bookman Old Style" w:cstheme="majorBidi"/>
        </w:rPr>
        <w:t xml:space="preserve"> concessioni demaniali ad uso turistico balneare </w:t>
      </w:r>
      <w:r w:rsidRPr="001E6448">
        <w:rPr>
          <w:rFonts w:ascii="Bookman Old Style" w:eastAsiaTheme="majorEastAsia" w:hAnsi="Bookman Old Style" w:cstheme="majorBidi"/>
          <w:b/>
          <w:bCs/>
        </w:rPr>
        <w:t xml:space="preserve">sono state </w:t>
      </w:r>
      <w:r w:rsidR="00C34B5A" w:rsidRPr="001E6448">
        <w:rPr>
          <w:rFonts w:ascii="Bookman Old Style" w:eastAsiaTheme="majorEastAsia" w:hAnsi="Bookman Old Style" w:cstheme="majorBidi"/>
          <w:b/>
          <w:bCs/>
        </w:rPr>
        <w:t>introdotte in Senato le seguenti norme di proroga:</w:t>
      </w:r>
    </w:p>
    <w:p w14:paraId="6D68D821" w14:textId="78AB181C" w:rsidR="00C34B5A" w:rsidRDefault="00C34B5A" w:rsidP="00905FA7">
      <w:pPr>
        <w:spacing w:after="0" w:line="240" w:lineRule="auto"/>
        <w:rPr>
          <w:rFonts w:ascii="Bookman Old Style" w:eastAsiaTheme="majorEastAsia" w:hAnsi="Bookman Old Style" w:cstheme="majorBidi"/>
          <w:b/>
          <w:bCs/>
          <w:color w:val="2F5496" w:themeColor="accent1" w:themeShade="BF"/>
        </w:rPr>
      </w:pPr>
    </w:p>
    <w:p w14:paraId="60045C2E" w14:textId="1C547E03" w:rsidR="00905FA7" w:rsidRPr="00CA59BC" w:rsidRDefault="00905FA7" w:rsidP="005A79BA">
      <w:pPr>
        <w:pStyle w:val="Nessunaspaziatura"/>
        <w:numPr>
          <w:ilvl w:val="0"/>
          <w:numId w:val="14"/>
        </w:numPr>
        <w:jc w:val="both"/>
        <w:rPr>
          <w:rFonts w:ascii="Bookman Old Style" w:eastAsiaTheme="majorEastAsia" w:hAnsi="Bookman Old Style" w:cstheme="majorBidi"/>
          <w:b/>
          <w:bCs/>
          <w:i/>
          <w:iCs/>
          <w:color w:val="2F5496" w:themeColor="accent1" w:themeShade="BF"/>
        </w:rPr>
      </w:pPr>
      <w:r w:rsidRPr="00713557">
        <w:rPr>
          <w:rFonts w:ascii="Bookman Old Style" w:eastAsiaTheme="majorEastAsia" w:hAnsi="Bookman Old Style" w:cstheme="majorBidi"/>
          <w:b/>
          <w:bCs/>
          <w:color w:val="2F5496" w:themeColor="accent1" w:themeShade="BF"/>
        </w:rPr>
        <w:t xml:space="preserve">Proroga mappature concessioni demaniali marittime </w:t>
      </w:r>
      <w:r w:rsidRPr="00CA59BC">
        <w:rPr>
          <w:rFonts w:ascii="Bookman Old Style" w:eastAsiaTheme="majorEastAsia" w:hAnsi="Bookman Old Style" w:cstheme="majorBidi"/>
          <w:b/>
          <w:bCs/>
          <w:i/>
          <w:iCs/>
          <w:color w:val="2F5496" w:themeColor="accent1" w:themeShade="BF"/>
        </w:rPr>
        <w:t>(Art. 1, comma 8 del disegno di legge di conversione)</w:t>
      </w:r>
    </w:p>
    <w:p w14:paraId="213019FF" w14:textId="0611E16F" w:rsidR="00905FA7" w:rsidRPr="005A3A33" w:rsidRDefault="00905FA7" w:rsidP="009E2B97">
      <w:pPr>
        <w:shd w:val="clear" w:color="auto" w:fill="FFFFFF"/>
        <w:spacing w:after="0" w:line="240" w:lineRule="auto"/>
        <w:jc w:val="both"/>
        <w:rPr>
          <w:rFonts w:ascii="Bookman Old Style" w:hAnsi="Bookman Old Style"/>
          <w:color w:val="000000"/>
        </w:rPr>
      </w:pPr>
      <w:r w:rsidRPr="005A3A33">
        <w:rPr>
          <w:rFonts w:ascii="Bookman Old Style" w:hAnsi="Bookman Old Style"/>
          <w:b/>
          <w:bCs/>
        </w:rPr>
        <w:t>La norma</w:t>
      </w:r>
      <w:r w:rsidR="001E6448">
        <w:rPr>
          <w:rFonts w:ascii="Bookman Old Style" w:hAnsi="Bookman Old Style"/>
        </w:rPr>
        <w:t xml:space="preserve"> </w:t>
      </w:r>
      <w:r w:rsidRPr="005A3A33">
        <w:rPr>
          <w:rFonts w:ascii="Bookman Old Style" w:eastAsia="Times New Roman" w:hAnsi="Bookman Old Style" w:cs="Times New Roman"/>
          <w:b/>
          <w:bCs/>
          <w:color w:val="000000"/>
          <w:lang w:eastAsia="it-IT"/>
        </w:rPr>
        <w:t>proroga</w:t>
      </w:r>
      <w:r w:rsidRPr="005A3A33">
        <w:rPr>
          <w:rFonts w:ascii="Bookman Old Style" w:eastAsia="Times New Roman" w:hAnsi="Bookman Old Style" w:cs="Times New Roman"/>
          <w:color w:val="000000"/>
          <w:lang w:eastAsia="it-IT"/>
        </w:rPr>
        <w:t> </w:t>
      </w:r>
      <w:bookmarkStart w:id="11" w:name="BMD0057_Schede_di_lettura"/>
      <w:bookmarkStart w:id="12" w:name="_Toc127213329"/>
      <w:bookmarkEnd w:id="11"/>
      <w:bookmarkEnd w:id="12"/>
      <w:r w:rsidRPr="005A3A33">
        <w:rPr>
          <w:rFonts w:ascii="Bookman Old Style" w:hAnsi="Bookman Old Style"/>
          <w:color w:val="000000"/>
        </w:rPr>
        <w:t> il termine per l’esercizio della </w:t>
      </w:r>
      <w:r w:rsidRPr="005A3A33">
        <w:rPr>
          <w:rFonts w:ascii="Bookman Old Style" w:hAnsi="Bookman Old Style"/>
          <w:b/>
          <w:bCs/>
          <w:color w:val="000000"/>
        </w:rPr>
        <w:t>delega legislativa</w:t>
      </w:r>
      <w:r w:rsidRPr="005A3A33">
        <w:rPr>
          <w:rFonts w:ascii="Bookman Old Style" w:hAnsi="Bookman Old Style"/>
          <w:color w:val="000000"/>
        </w:rPr>
        <w:t> in materia di mappatura delle </w:t>
      </w:r>
      <w:r w:rsidRPr="005A3A33">
        <w:rPr>
          <w:rFonts w:ascii="Bookman Old Style" w:hAnsi="Bookman Old Style"/>
          <w:b/>
          <w:bCs/>
          <w:color w:val="000000"/>
        </w:rPr>
        <w:t>concessioni di beni demaniali</w:t>
      </w:r>
      <w:r w:rsidRPr="005A3A33">
        <w:rPr>
          <w:rFonts w:ascii="Bookman Old Style" w:hAnsi="Bookman Old Style"/>
          <w:color w:val="000000"/>
        </w:rPr>
        <w:t> – prevista dalla legge annuale per la concorrenza 2021 – da 6 a </w:t>
      </w:r>
      <w:r w:rsidRPr="005A3A33">
        <w:rPr>
          <w:rFonts w:ascii="Bookman Old Style" w:hAnsi="Bookman Old Style"/>
          <w:b/>
          <w:bCs/>
          <w:color w:val="000000"/>
        </w:rPr>
        <w:t>11 mesi successivi</w:t>
      </w:r>
      <w:r w:rsidR="00F36698">
        <w:rPr>
          <w:rFonts w:ascii="Bookman Old Style" w:hAnsi="Bookman Old Style"/>
          <w:b/>
          <w:bCs/>
          <w:color w:val="000000"/>
        </w:rPr>
        <w:t xml:space="preserve"> </w:t>
      </w:r>
      <w:r w:rsidRPr="005A3A33">
        <w:rPr>
          <w:rFonts w:ascii="Bookman Old Style" w:hAnsi="Bookman Old Style"/>
          <w:color w:val="000000"/>
        </w:rPr>
        <w:t>dalla sua entrata in vigore</w:t>
      </w:r>
      <w:r w:rsidR="001E6448">
        <w:rPr>
          <w:rFonts w:ascii="Bookman Old Style" w:hAnsi="Bookman Old Style"/>
          <w:color w:val="000000"/>
        </w:rPr>
        <w:t xml:space="preserve"> </w:t>
      </w:r>
      <w:r w:rsidR="001921FA">
        <w:rPr>
          <w:rFonts w:ascii="Bookman Old Style" w:hAnsi="Bookman Old Style"/>
          <w:b/>
          <w:bCs/>
          <w:color w:val="000000"/>
        </w:rPr>
        <w:t>(27 luglio 2023)</w:t>
      </w:r>
      <w:r w:rsidR="001921FA" w:rsidRPr="005A3A33">
        <w:rPr>
          <w:rFonts w:ascii="Bookman Old Style" w:hAnsi="Bookman Old Style"/>
          <w:color w:val="000000"/>
        </w:rPr>
        <w:t> </w:t>
      </w:r>
      <w:r w:rsidRPr="005A3A33">
        <w:rPr>
          <w:rFonts w:ascii="Bookman Old Style" w:hAnsi="Bookman Old Style"/>
          <w:color w:val="000000"/>
        </w:rPr>
        <w:t xml:space="preserve">. In particolare, </w:t>
      </w:r>
      <w:r w:rsidR="00006189">
        <w:rPr>
          <w:rFonts w:ascii="Bookman Old Style" w:hAnsi="Bookman Old Style"/>
          <w:color w:val="000000"/>
        </w:rPr>
        <w:t>è prorogato il termine per la</w:t>
      </w:r>
      <w:r w:rsidRPr="005A3A33">
        <w:rPr>
          <w:rFonts w:ascii="Bookman Old Style" w:hAnsi="Bookman Old Style"/>
          <w:color w:val="000000"/>
        </w:rPr>
        <w:t xml:space="preserve"> costituzione e il coordinamento di un sistema informativo di </w:t>
      </w:r>
      <w:r w:rsidRPr="005A3A33">
        <w:rPr>
          <w:rFonts w:ascii="Bookman Old Style" w:hAnsi="Bookman Old Style"/>
          <w:b/>
          <w:bCs/>
          <w:color w:val="000000"/>
        </w:rPr>
        <w:t>rilevazione delle concessioni di beni pubblici al fine di promuovere la massima pubblicità e trasparenza</w:t>
      </w:r>
      <w:r w:rsidRPr="005A3A33">
        <w:rPr>
          <w:rFonts w:ascii="Bookman Old Style" w:hAnsi="Bookman Old Style"/>
          <w:color w:val="000000"/>
        </w:rPr>
        <w:t>, anche in forma sintetica, dei principali dati e delle informazioni relativi a tutti i rapporti concessori, tenendo conto delle esigenze di difesa e sicurezza.</w:t>
      </w:r>
      <w:r w:rsidR="009E2B97">
        <w:rPr>
          <w:rFonts w:ascii="Bookman Old Style" w:hAnsi="Bookman Old Style"/>
          <w:color w:val="000000"/>
        </w:rPr>
        <w:t xml:space="preserve"> </w:t>
      </w:r>
      <w:r w:rsidRPr="005A3A33">
        <w:rPr>
          <w:rFonts w:ascii="Bookman Old Style" w:hAnsi="Bookman Old Style"/>
          <w:color w:val="000000"/>
        </w:rPr>
        <w:t>Inoltre, quanto alle </w:t>
      </w:r>
      <w:r w:rsidRPr="005A3A33">
        <w:rPr>
          <w:rFonts w:ascii="Bookman Old Style" w:hAnsi="Bookman Old Style"/>
          <w:b/>
          <w:bCs/>
          <w:color w:val="000000"/>
        </w:rPr>
        <w:t>concessioni</w:t>
      </w:r>
      <w:r w:rsidRPr="005A3A33">
        <w:rPr>
          <w:rFonts w:ascii="Bookman Old Style" w:hAnsi="Bookman Old Style"/>
          <w:color w:val="000000"/>
        </w:rPr>
        <w:t> </w:t>
      </w:r>
      <w:r w:rsidRPr="005A3A33">
        <w:rPr>
          <w:rFonts w:ascii="Bookman Old Style" w:hAnsi="Bookman Old Style"/>
          <w:b/>
          <w:bCs/>
          <w:color w:val="000000"/>
        </w:rPr>
        <w:t>balneari</w:t>
      </w:r>
      <w:r w:rsidRPr="005A3A33">
        <w:rPr>
          <w:rFonts w:ascii="Bookman Old Style" w:hAnsi="Bookman Old Style"/>
          <w:color w:val="000000"/>
        </w:rPr>
        <w:t>, si fa divieto a</w:t>
      </w:r>
      <w:r w:rsidR="000853DD">
        <w:rPr>
          <w:rFonts w:ascii="Bookman Old Style" w:hAnsi="Bookman Old Style"/>
          <w:color w:val="000000"/>
        </w:rPr>
        <w:t>i Comuni, nelle more dell’emanazione dei decreti legislativi di cui all’art. 4 della legge 118/2022 di</w:t>
      </w:r>
      <w:r w:rsidRPr="005A3A33">
        <w:rPr>
          <w:rFonts w:ascii="Bookman Old Style" w:hAnsi="Bookman Old Style"/>
          <w:color w:val="000000"/>
        </w:rPr>
        <w:t> </w:t>
      </w:r>
      <w:r w:rsidRPr="005A3A33">
        <w:rPr>
          <w:rFonts w:ascii="Bookman Old Style" w:hAnsi="Bookman Old Style"/>
          <w:b/>
          <w:bCs/>
          <w:color w:val="000000"/>
        </w:rPr>
        <w:t>emanare bandi di assegnazione</w:t>
      </w:r>
      <w:r w:rsidRPr="005A3A33">
        <w:rPr>
          <w:rFonts w:ascii="Bookman Old Style" w:hAnsi="Bookman Old Style"/>
          <w:color w:val="000000"/>
        </w:rPr>
        <w:t> prima dell’adozione dei relativi decreti legislativi.</w:t>
      </w:r>
    </w:p>
    <w:p w14:paraId="2AA6D98F" w14:textId="218D452E" w:rsidR="000A4DEB" w:rsidRDefault="000A4DEB" w:rsidP="00905FA7">
      <w:pPr>
        <w:pStyle w:val="NormaleWeb"/>
        <w:shd w:val="clear" w:color="auto" w:fill="FFFFFF"/>
        <w:spacing w:before="30" w:beforeAutospacing="0" w:after="30" w:afterAutospacing="0"/>
        <w:ind w:left="30"/>
        <w:jc w:val="both"/>
        <w:rPr>
          <w:rFonts w:ascii="Bookman Old Style" w:hAnsi="Bookman Old Style"/>
          <w:sz w:val="22"/>
          <w:szCs w:val="22"/>
        </w:rPr>
      </w:pPr>
    </w:p>
    <w:p w14:paraId="7450020B" w14:textId="77777777" w:rsidR="00427CF8" w:rsidRPr="005A3A33" w:rsidRDefault="00427CF8" w:rsidP="005A79BA">
      <w:pPr>
        <w:pStyle w:val="NormaleWeb"/>
        <w:numPr>
          <w:ilvl w:val="0"/>
          <w:numId w:val="14"/>
        </w:numPr>
        <w:shd w:val="clear" w:color="auto" w:fill="FFFFFF"/>
        <w:spacing w:before="0" w:beforeAutospacing="0" w:after="0" w:afterAutospacing="0"/>
        <w:jc w:val="both"/>
        <w:rPr>
          <w:rFonts w:ascii="Bookman Old Style" w:eastAsiaTheme="majorEastAsia" w:hAnsi="Bookman Old Style" w:cstheme="majorBidi"/>
          <w:b/>
          <w:bCs/>
          <w:color w:val="2F5496" w:themeColor="accent1" w:themeShade="BF"/>
          <w:sz w:val="22"/>
          <w:szCs w:val="22"/>
          <w:lang w:eastAsia="en-US"/>
        </w:rPr>
      </w:pPr>
      <w:r w:rsidRPr="005A3A33">
        <w:rPr>
          <w:rFonts w:ascii="Bookman Old Style" w:eastAsiaTheme="majorEastAsia" w:hAnsi="Bookman Old Style" w:cstheme="majorBidi"/>
          <w:b/>
          <w:bCs/>
          <w:color w:val="2F5496" w:themeColor="accent1" w:themeShade="BF"/>
          <w:sz w:val="22"/>
          <w:szCs w:val="22"/>
          <w:lang w:eastAsia="en-US"/>
        </w:rPr>
        <w:t xml:space="preserve">Proroga concessioni demaniali </w:t>
      </w:r>
      <w:r w:rsidRPr="00CA59BC">
        <w:rPr>
          <w:rFonts w:ascii="Bookman Old Style" w:eastAsiaTheme="majorEastAsia" w:hAnsi="Bookman Old Style" w:cstheme="majorBidi"/>
          <w:b/>
          <w:bCs/>
          <w:i/>
          <w:iCs/>
          <w:color w:val="2F5496" w:themeColor="accent1" w:themeShade="BF"/>
          <w:sz w:val="22"/>
          <w:szCs w:val="22"/>
          <w:lang w:eastAsia="en-US"/>
        </w:rPr>
        <w:t>(Art. 12, comma 6 sexies)</w:t>
      </w:r>
    </w:p>
    <w:p w14:paraId="3C6B4BBE" w14:textId="455EF40C" w:rsidR="00427CF8" w:rsidRDefault="00427CF8" w:rsidP="005A79BA">
      <w:pPr>
        <w:spacing w:after="0" w:line="240" w:lineRule="auto"/>
        <w:jc w:val="both"/>
        <w:rPr>
          <w:rFonts w:ascii="Bookman Old Style" w:hAnsi="Bookman Old Style"/>
        </w:rPr>
      </w:pPr>
      <w:r w:rsidRPr="005A3A33">
        <w:rPr>
          <w:rFonts w:ascii="Bookman Old Style" w:hAnsi="Bookman Old Style"/>
          <w:b/>
          <w:bCs/>
        </w:rPr>
        <w:t>La norma</w:t>
      </w:r>
      <w:r w:rsidRPr="005A3A33">
        <w:rPr>
          <w:rFonts w:ascii="Bookman Old Style" w:hAnsi="Bookman Old Style"/>
        </w:rPr>
        <w:t xml:space="preserve">  </w:t>
      </w:r>
      <w:r w:rsidRPr="005A3A33">
        <w:rPr>
          <w:rFonts w:ascii="Bookman Old Style" w:hAnsi="Bookman Old Style"/>
          <w:color w:val="000000"/>
          <w:shd w:val="clear" w:color="auto" w:fill="FFFFFF"/>
        </w:rPr>
        <w:t>dispone la proroga, dal 31 dicembre 2023 al </w:t>
      </w:r>
      <w:r w:rsidRPr="005A3A33">
        <w:rPr>
          <w:rFonts w:ascii="Bookman Old Style" w:hAnsi="Bookman Old Style"/>
          <w:b/>
          <w:bCs/>
        </w:rPr>
        <w:t>31 dicembre 2024</w:t>
      </w:r>
      <w:r w:rsidRPr="005A3A33">
        <w:rPr>
          <w:rFonts w:ascii="Bookman Old Style" w:hAnsi="Bookman Old Style"/>
        </w:rPr>
        <w:t>, dell’</w:t>
      </w:r>
      <w:r w:rsidRPr="005A3A33">
        <w:rPr>
          <w:rFonts w:ascii="Bookman Old Style" w:hAnsi="Bookman Old Style"/>
          <w:b/>
          <w:bCs/>
        </w:rPr>
        <w:t>efficacia delle concessioni e dei rapporti in essere su beni demaniali marittimi, lacuali e fluviali</w:t>
      </w:r>
      <w:r w:rsidRPr="005A3A33">
        <w:rPr>
          <w:rFonts w:ascii="Bookman Old Style" w:hAnsi="Bookman Old Style"/>
        </w:rPr>
        <w:t>, per finalità turistico-ricreative e sportiv</w:t>
      </w:r>
      <w:r w:rsidR="00086041">
        <w:rPr>
          <w:rFonts w:ascii="Bookman Old Style" w:hAnsi="Bookman Old Style"/>
        </w:rPr>
        <w:t>e</w:t>
      </w:r>
      <w:r w:rsidRPr="005A3A33">
        <w:rPr>
          <w:rFonts w:ascii="Bookman Old Style" w:hAnsi="Bookman Old Style"/>
        </w:rPr>
        <w:t>.</w:t>
      </w:r>
    </w:p>
    <w:p w14:paraId="0CB969DC" w14:textId="77777777" w:rsidR="005A79BA" w:rsidRDefault="005A79BA" w:rsidP="005A79BA">
      <w:pPr>
        <w:spacing w:after="0" w:line="240" w:lineRule="auto"/>
        <w:jc w:val="both"/>
        <w:rPr>
          <w:rFonts w:ascii="Bookman Old Style" w:hAnsi="Bookman Old Style"/>
        </w:rPr>
      </w:pPr>
    </w:p>
    <w:p w14:paraId="414BCC2A" w14:textId="77777777" w:rsidR="0044712A" w:rsidRPr="00CA59BC" w:rsidRDefault="0044712A" w:rsidP="005A79BA">
      <w:pPr>
        <w:pStyle w:val="NormaleWeb"/>
        <w:numPr>
          <w:ilvl w:val="0"/>
          <w:numId w:val="14"/>
        </w:numPr>
        <w:shd w:val="clear" w:color="auto" w:fill="FFFFFF"/>
        <w:spacing w:before="0" w:beforeAutospacing="0" w:after="0" w:afterAutospacing="0"/>
        <w:jc w:val="both"/>
        <w:rPr>
          <w:rFonts w:ascii="Bookman Old Style" w:eastAsiaTheme="majorEastAsia" w:hAnsi="Bookman Old Style" w:cstheme="majorBidi"/>
          <w:b/>
          <w:bCs/>
          <w:i/>
          <w:iCs/>
          <w:color w:val="2F5496" w:themeColor="accent1" w:themeShade="BF"/>
          <w:sz w:val="22"/>
          <w:szCs w:val="22"/>
          <w:lang w:eastAsia="en-US"/>
        </w:rPr>
      </w:pPr>
      <w:r w:rsidRPr="00CA59BC">
        <w:rPr>
          <w:rFonts w:ascii="Bookman Old Style" w:eastAsiaTheme="majorEastAsia" w:hAnsi="Bookman Old Style" w:cstheme="majorBidi"/>
          <w:b/>
          <w:bCs/>
          <w:color w:val="2F5496" w:themeColor="accent1" w:themeShade="BF"/>
          <w:sz w:val="22"/>
          <w:szCs w:val="22"/>
          <w:lang w:eastAsia="en-US"/>
        </w:rPr>
        <w:t>Tavolo tecnico consultivo e di indirizzo in materia di concessioni demaniali marittime</w:t>
      </w:r>
      <w:r w:rsidRPr="005A3A33">
        <w:rPr>
          <w:rFonts w:ascii="Bookman Old Style" w:eastAsiaTheme="majorEastAsia" w:hAnsi="Bookman Old Style" w:cstheme="majorBidi"/>
          <w:b/>
          <w:bCs/>
          <w:color w:val="2F5496" w:themeColor="accent1" w:themeShade="BF"/>
          <w:sz w:val="22"/>
          <w:szCs w:val="22"/>
          <w:lang w:eastAsia="en-US"/>
        </w:rPr>
        <w:t xml:space="preserve"> </w:t>
      </w:r>
      <w:r w:rsidRPr="00CA59BC">
        <w:rPr>
          <w:rFonts w:ascii="Bookman Old Style" w:eastAsiaTheme="majorEastAsia" w:hAnsi="Bookman Old Style" w:cstheme="majorBidi"/>
          <w:b/>
          <w:bCs/>
          <w:i/>
          <w:iCs/>
          <w:color w:val="2F5496" w:themeColor="accent1" w:themeShade="BF"/>
          <w:sz w:val="22"/>
          <w:szCs w:val="22"/>
          <w:lang w:eastAsia="en-US"/>
        </w:rPr>
        <w:t>(Art. 10 quater)</w:t>
      </w:r>
    </w:p>
    <w:p w14:paraId="01F87787" w14:textId="77777777" w:rsidR="00750A09" w:rsidRDefault="0044712A" w:rsidP="0044712A">
      <w:pPr>
        <w:pStyle w:val="a6"/>
        <w:shd w:val="clear" w:color="auto" w:fill="FFFFFF"/>
        <w:spacing w:before="0" w:beforeAutospacing="0" w:after="0" w:afterAutospacing="0"/>
        <w:ind w:left="28"/>
        <w:jc w:val="both"/>
        <w:rPr>
          <w:rFonts w:ascii="Bookman Old Style" w:hAnsi="Bookman Old Style"/>
          <w:color w:val="000000"/>
          <w:sz w:val="22"/>
          <w:szCs w:val="22"/>
        </w:rPr>
      </w:pPr>
      <w:r w:rsidRPr="005A3A33">
        <w:rPr>
          <w:rFonts w:ascii="Bookman Old Style" w:hAnsi="Bookman Old Style"/>
          <w:b/>
          <w:bCs/>
          <w:sz w:val="22"/>
          <w:szCs w:val="22"/>
        </w:rPr>
        <w:t>La norma</w:t>
      </w:r>
      <w:r w:rsidRPr="005A3A33">
        <w:rPr>
          <w:rFonts w:ascii="Bookman Old Style" w:hAnsi="Bookman Old Style"/>
          <w:sz w:val="22"/>
          <w:szCs w:val="22"/>
        </w:rPr>
        <w:t xml:space="preserve">, </w:t>
      </w:r>
      <w:r w:rsidRPr="005A3A33">
        <w:rPr>
          <w:rFonts w:ascii="Bookman Old Style" w:hAnsi="Bookman Old Style"/>
          <w:color w:val="000000"/>
          <w:sz w:val="22"/>
          <w:szCs w:val="22"/>
        </w:rPr>
        <w:t xml:space="preserve">istituisce presso la Presidenza del Consiglio </w:t>
      </w:r>
      <w:r w:rsidRPr="00086041">
        <w:rPr>
          <w:rFonts w:ascii="Bookman Old Style" w:hAnsi="Bookman Old Style"/>
          <w:b/>
          <w:bCs/>
          <w:color w:val="000000"/>
          <w:sz w:val="22"/>
          <w:szCs w:val="22"/>
        </w:rPr>
        <w:t>un tavolo tecnico</w:t>
      </w:r>
      <w:r w:rsidRPr="005A3A33">
        <w:rPr>
          <w:rFonts w:ascii="Bookman Old Style" w:hAnsi="Bookman Old Style"/>
          <w:color w:val="000000"/>
          <w:sz w:val="22"/>
          <w:szCs w:val="22"/>
        </w:rPr>
        <w:t xml:space="preserve"> con compiti consultivi e di indirizzo in materia di concessioni demaniali marittime, lacuali e fluviali.  Il tavolo è composto dai rappresentati del MIT, del MEF, del Ministero della protezione civile e del mare, del Ministero delle imprese e del made in Italy, del MASE, del Ministero per gli affari regionali e le autonomie, del Ministero degli affari europei, del Ministero del turismo e da un rappresentante delle regioni e un rappresentante per ogni associazione di categoria maggiormente rappresentativa del settore. Tale tavolo, acquisiti i dati relativi a tutti i rapporti concessori in essere delle aree demaniali marittime, lacuali e fluviali, elaborati ai sensi all'articolo 2, della legge 5 agosto 2022, n. 118, definisce i criteri tecnici per la determinazione della sussistenza della scarsità della risorsa naturale disponibile, tenuto conto sia del dato complessivo nazionale che di quello disaggregato a livello regionale, e della rilevanza economica transfrontaliera.</w:t>
      </w:r>
      <w:r w:rsidR="00D96154">
        <w:rPr>
          <w:rFonts w:ascii="Bookman Old Style" w:hAnsi="Bookman Old Style"/>
          <w:color w:val="000000"/>
          <w:sz w:val="22"/>
          <w:szCs w:val="22"/>
        </w:rPr>
        <w:t xml:space="preserve"> </w:t>
      </w:r>
    </w:p>
    <w:p w14:paraId="0AED3DF4" w14:textId="30D95D7B" w:rsidR="0044712A" w:rsidRDefault="0044712A" w:rsidP="0044712A">
      <w:pPr>
        <w:pStyle w:val="a6"/>
        <w:shd w:val="clear" w:color="auto" w:fill="FFFFFF"/>
        <w:spacing w:before="0" w:beforeAutospacing="0" w:after="0" w:afterAutospacing="0"/>
        <w:ind w:left="28"/>
        <w:jc w:val="both"/>
        <w:rPr>
          <w:rFonts w:ascii="Bookman Old Style" w:hAnsi="Bookman Old Style"/>
          <w:b/>
          <w:bCs/>
          <w:color w:val="000000"/>
          <w:sz w:val="22"/>
          <w:szCs w:val="22"/>
        </w:rPr>
      </w:pPr>
      <w:r w:rsidRPr="005A3A33">
        <w:rPr>
          <w:rFonts w:ascii="Bookman Old Style" w:hAnsi="Bookman Old Style"/>
          <w:color w:val="000000"/>
          <w:sz w:val="22"/>
          <w:szCs w:val="22"/>
        </w:rPr>
        <w:t xml:space="preserve">Ai fini dell’espletamento dei compiti del tavolo tecnico di cui </w:t>
      </w:r>
      <w:r w:rsidRPr="00086041">
        <w:rPr>
          <w:rFonts w:ascii="Bookman Old Style" w:hAnsi="Bookman Old Style"/>
          <w:b/>
          <w:bCs/>
          <w:color w:val="000000"/>
          <w:sz w:val="22"/>
          <w:szCs w:val="22"/>
        </w:rPr>
        <w:t>ai commi 3</w:t>
      </w:r>
      <w:r w:rsidR="001F3891" w:rsidRPr="00086041">
        <w:rPr>
          <w:rStyle w:val="Rimandonotaapidipagina"/>
          <w:rFonts w:ascii="Bookman Old Style" w:hAnsi="Bookman Old Style"/>
          <w:b/>
          <w:bCs/>
          <w:color w:val="000000"/>
          <w:sz w:val="22"/>
          <w:szCs w:val="22"/>
        </w:rPr>
        <w:footnoteReference w:id="1"/>
      </w:r>
      <w:r w:rsidRPr="00AA327C">
        <w:rPr>
          <w:rFonts w:ascii="Bookman Old Style" w:hAnsi="Bookman Old Style"/>
          <w:b/>
          <w:bCs/>
          <w:color w:val="000000"/>
          <w:sz w:val="22"/>
          <w:szCs w:val="22"/>
        </w:rPr>
        <w:t xml:space="preserve"> e 4</w:t>
      </w:r>
      <w:r w:rsidR="00923EEE" w:rsidRPr="00AA327C">
        <w:rPr>
          <w:rStyle w:val="Rimandonotaapidipagina"/>
          <w:rFonts w:ascii="Bookman Old Style" w:hAnsi="Bookman Old Style"/>
          <w:b/>
          <w:bCs/>
          <w:color w:val="000000"/>
          <w:sz w:val="22"/>
          <w:szCs w:val="22"/>
        </w:rPr>
        <w:footnoteReference w:id="2"/>
      </w:r>
      <w:r w:rsidRPr="00AA327C">
        <w:rPr>
          <w:rFonts w:ascii="Bookman Old Style" w:hAnsi="Bookman Old Style"/>
          <w:b/>
          <w:bCs/>
          <w:color w:val="000000"/>
          <w:sz w:val="22"/>
          <w:szCs w:val="22"/>
        </w:rPr>
        <w:t xml:space="preserve"> dell’art. 3</w:t>
      </w:r>
      <w:r w:rsidRPr="005A3A33">
        <w:rPr>
          <w:rFonts w:ascii="Bookman Old Style" w:hAnsi="Bookman Old Style"/>
          <w:color w:val="000000"/>
          <w:sz w:val="22"/>
          <w:szCs w:val="22"/>
        </w:rPr>
        <w:t xml:space="preserve"> </w:t>
      </w:r>
      <w:r w:rsidR="00F04570" w:rsidRPr="00AA327C">
        <w:rPr>
          <w:rFonts w:ascii="Bookman Old Style" w:hAnsi="Bookman Old Style"/>
          <w:b/>
          <w:bCs/>
          <w:color w:val="000000"/>
          <w:sz w:val="22"/>
          <w:szCs w:val="22"/>
        </w:rPr>
        <w:t xml:space="preserve">della </w:t>
      </w:r>
      <w:r w:rsidRPr="00AA327C">
        <w:rPr>
          <w:rFonts w:ascii="Bookman Old Style" w:hAnsi="Bookman Old Style"/>
          <w:b/>
          <w:bCs/>
          <w:color w:val="000000"/>
          <w:sz w:val="22"/>
          <w:szCs w:val="22"/>
        </w:rPr>
        <w:t xml:space="preserve">legge </w:t>
      </w:r>
      <w:r w:rsidR="00F04570" w:rsidRPr="00AA327C">
        <w:rPr>
          <w:rFonts w:ascii="Bookman Old Style" w:hAnsi="Bookman Old Style"/>
          <w:b/>
          <w:bCs/>
          <w:color w:val="000000"/>
          <w:sz w:val="22"/>
          <w:szCs w:val="22"/>
        </w:rPr>
        <w:t>118/</w:t>
      </w:r>
      <w:r w:rsidRPr="00AA327C">
        <w:rPr>
          <w:rFonts w:ascii="Bookman Old Style" w:hAnsi="Bookman Old Style"/>
          <w:b/>
          <w:bCs/>
          <w:color w:val="000000"/>
          <w:sz w:val="22"/>
          <w:szCs w:val="22"/>
        </w:rPr>
        <w:t>2022</w:t>
      </w:r>
      <w:r w:rsidRPr="005A3A33">
        <w:rPr>
          <w:rFonts w:ascii="Bookman Old Style" w:hAnsi="Bookman Old Style"/>
          <w:color w:val="000000"/>
          <w:sz w:val="22"/>
          <w:szCs w:val="22"/>
        </w:rPr>
        <w:t xml:space="preserve">, il termine del </w:t>
      </w:r>
      <w:r w:rsidRPr="005A3A33">
        <w:rPr>
          <w:rFonts w:ascii="Bookman Old Style" w:hAnsi="Bookman Old Style"/>
          <w:b/>
          <w:bCs/>
          <w:color w:val="000000"/>
          <w:sz w:val="22"/>
          <w:szCs w:val="22"/>
        </w:rPr>
        <w:t>31 dicembre 2024</w:t>
      </w:r>
      <w:r w:rsidRPr="005A3A33">
        <w:rPr>
          <w:rFonts w:ascii="Bookman Old Style" w:hAnsi="Bookman Old Style"/>
          <w:color w:val="000000"/>
          <w:sz w:val="22"/>
          <w:szCs w:val="22"/>
        </w:rPr>
        <w:t xml:space="preserve"> è sostituito con  il nuovo termine del </w:t>
      </w:r>
      <w:r w:rsidRPr="005A3A33">
        <w:rPr>
          <w:rFonts w:ascii="Bookman Old Style" w:hAnsi="Bookman Old Style"/>
          <w:b/>
          <w:bCs/>
          <w:color w:val="000000"/>
          <w:sz w:val="22"/>
          <w:szCs w:val="22"/>
        </w:rPr>
        <w:t>31 dicembre 2025</w:t>
      </w:r>
      <w:r w:rsidR="00750A09">
        <w:rPr>
          <w:rFonts w:ascii="Bookman Old Style" w:hAnsi="Bookman Old Style"/>
          <w:b/>
          <w:bCs/>
          <w:color w:val="000000"/>
          <w:sz w:val="22"/>
          <w:szCs w:val="22"/>
        </w:rPr>
        <w:t xml:space="preserve"> (in sostanza viene data facoltà all’ente concedente, ricorrendo determinate condizioni oggettive, di prorogare al 31 dicembre 2025 l’efficacia delle concessioni ad uso turistico balneare in essere)</w:t>
      </w:r>
      <w:r w:rsidRPr="005A3A33">
        <w:rPr>
          <w:rFonts w:ascii="Bookman Old Style" w:hAnsi="Bookman Old Style"/>
          <w:b/>
          <w:bCs/>
          <w:color w:val="000000"/>
          <w:sz w:val="22"/>
          <w:szCs w:val="22"/>
        </w:rPr>
        <w:t>.</w:t>
      </w:r>
    </w:p>
    <w:p w14:paraId="43A3BA92" w14:textId="77777777" w:rsidR="00427CF8" w:rsidRPr="005A3A33" w:rsidRDefault="00427CF8" w:rsidP="00905FA7">
      <w:pPr>
        <w:pStyle w:val="NormaleWeb"/>
        <w:shd w:val="clear" w:color="auto" w:fill="FFFFFF"/>
        <w:spacing w:before="30" w:beforeAutospacing="0" w:after="30" w:afterAutospacing="0"/>
        <w:ind w:left="30"/>
        <w:jc w:val="both"/>
        <w:rPr>
          <w:rFonts w:ascii="Bookman Old Style" w:hAnsi="Bookman Old Style"/>
          <w:sz w:val="22"/>
          <w:szCs w:val="22"/>
        </w:rPr>
      </w:pPr>
    </w:p>
    <w:p w14:paraId="7F85C38F" w14:textId="77777777" w:rsidR="00905FA7" w:rsidRPr="004020E9" w:rsidRDefault="00905FA7" w:rsidP="0044712A">
      <w:pPr>
        <w:pStyle w:val="NormaleWeb"/>
        <w:numPr>
          <w:ilvl w:val="0"/>
          <w:numId w:val="14"/>
        </w:numPr>
        <w:shd w:val="clear" w:color="auto" w:fill="FFFFFF"/>
        <w:spacing w:before="30" w:beforeAutospacing="0" w:after="30" w:afterAutospacing="0"/>
        <w:jc w:val="both"/>
        <w:rPr>
          <w:rFonts w:ascii="Bookman Old Style" w:eastAsiaTheme="majorEastAsia" w:hAnsi="Bookman Old Style" w:cstheme="majorBidi"/>
          <w:b/>
          <w:bCs/>
          <w:i/>
          <w:iCs/>
          <w:color w:val="2F5496" w:themeColor="accent1" w:themeShade="BF"/>
          <w:sz w:val="22"/>
          <w:szCs w:val="22"/>
          <w:lang w:eastAsia="en-US"/>
        </w:rPr>
      </w:pPr>
      <w:r w:rsidRPr="005A3A33">
        <w:rPr>
          <w:rFonts w:ascii="Bookman Old Style" w:eastAsiaTheme="majorEastAsia" w:hAnsi="Bookman Old Style" w:cstheme="majorBidi"/>
          <w:b/>
          <w:bCs/>
          <w:color w:val="2F5496" w:themeColor="accent1" w:themeShade="BF"/>
          <w:sz w:val="22"/>
          <w:szCs w:val="22"/>
          <w:lang w:eastAsia="en-US"/>
        </w:rPr>
        <w:t xml:space="preserve">Concessioni demaniali per punti di approdo </w:t>
      </w:r>
      <w:r w:rsidRPr="004020E9">
        <w:rPr>
          <w:rFonts w:ascii="Bookman Old Style" w:eastAsiaTheme="majorEastAsia" w:hAnsi="Bookman Old Style" w:cstheme="majorBidi"/>
          <w:b/>
          <w:bCs/>
          <w:i/>
          <w:iCs/>
          <w:color w:val="2F5496" w:themeColor="accent1" w:themeShade="BF"/>
          <w:sz w:val="22"/>
          <w:szCs w:val="22"/>
          <w:lang w:eastAsia="en-US"/>
        </w:rPr>
        <w:t>(Art. 10 ter)</w:t>
      </w:r>
    </w:p>
    <w:p w14:paraId="49AC4214" w14:textId="43122169" w:rsidR="00905FA7" w:rsidRPr="005A3A33" w:rsidRDefault="00905FA7" w:rsidP="00905FA7">
      <w:pPr>
        <w:autoSpaceDE w:val="0"/>
        <w:autoSpaceDN w:val="0"/>
        <w:jc w:val="both"/>
        <w:rPr>
          <w:rFonts w:ascii="Bookman Old Style" w:hAnsi="Bookman Old Style"/>
          <w:b/>
          <w:bCs/>
          <w:color w:val="000000"/>
        </w:rPr>
      </w:pPr>
      <w:r w:rsidRPr="005A3A33">
        <w:rPr>
          <w:rFonts w:ascii="Bookman Old Style" w:hAnsi="Bookman Old Style"/>
          <w:b/>
          <w:bCs/>
        </w:rPr>
        <w:t>La norma</w:t>
      </w:r>
      <w:r w:rsidRPr="005A3A33">
        <w:rPr>
          <w:rFonts w:ascii="Bookman Old Style" w:hAnsi="Bookman Old Style"/>
        </w:rPr>
        <w:t xml:space="preserve">, </w:t>
      </w:r>
      <w:r w:rsidRPr="005A3A33">
        <w:rPr>
          <w:rFonts w:ascii="Bookman Old Style" w:hAnsi="Bookman Old Style"/>
          <w:b/>
          <w:bCs/>
        </w:rPr>
        <w:t>approvata in Senato</w:t>
      </w:r>
      <w:r w:rsidRPr="005A3A33">
        <w:rPr>
          <w:rFonts w:ascii="Bookman Old Style" w:hAnsi="Bookman Old Style" w:cs="CIDFont+F2"/>
        </w:rPr>
        <w:t xml:space="preserve">, </w:t>
      </w:r>
      <w:r w:rsidRPr="005A3A33">
        <w:rPr>
          <w:rFonts w:ascii="Bookman Old Style" w:hAnsi="Bookman Old Style"/>
        </w:rPr>
        <w:t>prevede che i titolari delle concessioni demaniali marittime ad uso turistico-ricreativo e dei punti di approdo con medesime finalità possono mantenere installati fino al 31 dicembre 2023 i manufatti amovibili utilizzati.</w:t>
      </w:r>
    </w:p>
    <w:p w14:paraId="74F5F6AB" w14:textId="77777777" w:rsidR="007E55E0" w:rsidRPr="008D066C" w:rsidRDefault="007E55E0" w:rsidP="008D066C">
      <w:pPr>
        <w:spacing w:after="0" w:line="240" w:lineRule="auto"/>
        <w:jc w:val="both"/>
        <w:rPr>
          <w:rFonts w:ascii="Bookman Old Style" w:eastAsia="Times New Roman" w:hAnsi="Bookman Old Style"/>
        </w:rPr>
      </w:pPr>
    </w:p>
    <w:p w14:paraId="79266F1B" w14:textId="77777777" w:rsidR="008D066C" w:rsidRPr="004020E9" w:rsidRDefault="008D066C" w:rsidP="008D066C">
      <w:pPr>
        <w:numPr>
          <w:ilvl w:val="0"/>
          <w:numId w:val="7"/>
        </w:numPr>
        <w:autoSpaceDE w:val="0"/>
        <w:autoSpaceDN w:val="0"/>
        <w:spacing w:after="0" w:line="240" w:lineRule="auto"/>
        <w:contextualSpacing/>
        <w:jc w:val="both"/>
        <w:rPr>
          <w:rFonts w:ascii="Bookman Old Style" w:eastAsiaTheme="majorEastAsia" w:hAnsi="Bookman Old Style" w:cstheme="majorBidi"/>
          <w:b/>
          <w:bCs/>
          <w:i/>
          <w:iCs/>
          <w:color w:val="2F5496" w:themeColor="accent1" w:themeShade="BF"/>
        </w:rPr>
      </w:pPr>
      <w:r w:rsidRPr="008D066C">
        <w:rPr>
          <w:rFonts w:ascii="Bookman Old Style" w:eastAsiaTheme="majorEastAsia" w:hAnsi="Bookman Old Style" w:cstheme="majorBidi"/>
          <w:b/>
          <w:bCs/>
          <w:color w:val="2F5496" w:themeColor="accent1" w:themeShade="BF"/>
        </w:rPr>
        <w:t xml:space="preserve">Riperimetrazione dei siti contaminati di interesse nazionale </w:t>
      </w:r>
      <w:r w:rsidRPr="004020E9">
        <w:rPr>
          <w:rFonts w:ascii="Bookman Old Style" w:eastAsiaTheme="majorEastAsia" w:hAnsi="Bookman Old Style" w:cstheme="majorBidi"/>
          <w:b/>
          <w:bCs/>
          <w:i/>
          <w:iCs/>
          <w:color w:val="2F5496" w:themeColor="accent1" w:themeShade="BF"/>
        </w:rPr>
        <w:t xml:space="preserve">(Art.11, comma 5) </w:t>
      </w:r>
    </w:p>
    <w:p w14:paraId="528149A8" w14:textId="77777777" w:rsidR="008D066C" w:rsidRPr="008D066C" w:rsidRDefault="008D066C" w:rsidP="008D066C">
      <w:pPr>
        <w:autoSpaceDE w:val="0"/>
        <w:autoSpaceDN w:val="0"/>
        <w:adjustRightInd w:val="0"/>
        <w:spacing w:after="0" w:line="240" w:lineRule="auto"/>
        <w:jc w:val="both"/>
        <w:rPr>
          <w:rFonts w:ascii="Bookman Old Style" w:hAnsi="Bookman Old Style" w:cs="Times New Roman"/>
          <w:color w:val="000000"/>
        </w:rPr>
      </w:pPr>
      <w:r w:rsidRPr="008D066C">
        <w:rPr>
          <w:rFonts w:ascii="Bookman Old Style" w:hAnsi="Bookman Old Style" w:cs="Times New Roman"/>
          <w:color w:val="000000"/>
        </w:rPr>
        <w:t xml:space="preserve">La norma proroga </w:t>
      </w:r>
      <w:r w:rsidRPr="008D066C">
        <w:rPr>
          <w:rFonts w:ascii="Bookman Old Style" w:hAnsi="Bookman Old Style" w:cs="Times New Roman"/>
          <w:b/>
          <w:bCs/>
          <w:color w:val="000000"/>
        </w:rPr>
        <w:t>al 1 gennaio 2024</w:t>
      </w:r>
      <w:r w:rsidRPr="008D066C">
        <w:rPr>
          <w:rFonts w:ascii="Bookman Old Style" w:hAnsi="Bookman Old Style" w:cs="Times New Roman"/>
          <w:color w:val="000000"/>
        </w:rPr>
        <w:t xml:space="preserve"> il termine (previsto dall’art. 17-</w:t>
      </w:r>
      <w:r w:rsidRPr="008D066C">
        <w:rPr>
          <w:rFonts w:ascii="Bookman Old Style" w:hAnsi="Bookman Old Style" w:cs="Times New Roman"/>
          <w:i/>
          <w:iCs/>
          <w:color w:val="000000"/>
        </w:rPr>
        <w:t xml:space="preserve">bis </w:t>
      </w:r>
      <w:r w:rsidRPr="008D066C">
        <w:rPr>
          <w:rFonts w:ascii="Bookman Old Style" w:hAnsi="Bookman Old Style" w:cs="Times New Roman"/>
          <w:color w:val="000000"/>
        </w:rPr>
        <w:t>del D.L. 152/2021) entro il quale va fatta la ricognizione e la riperimetrazione dei siti contaminati attualmente classificati di interesse nazionale ai fini della bonifica.</w:t>
      </w:r>
      <w:r w:rsidRPr="008D066C">
        <w:rPr>
          <w:rFonts w:ascii="Bookman Old Style" w:hAnsi="Bookman Old Style"/>
        </w:rPr>
        <w:t xml:space="preserve"> </w:t>
      </w:r>
      <w:r w:rsidRPr="008D066C">
        <w:rPr>
          <w:rFonts w:ascii="Bookman Old Style" w:hAnsi="Bookman Old Style" w:cs="Times New Roman"/>
          <w:color w:val="000000"/>
        </w:rPr>
        <w:t>Si ricorda che a tal fine è prevista l’</w:t>
      </w:r>
      <w:r w:rsidRPr="008D066C">
        <w:rPr>
          <w:rFonts w:ascii="Bookman Old Style" w:hAnsi="Bookman Old Style" w:cs="Times New Roman"/>
          <w:b/>
          <w:bCs/>
          <w:color w:val="000000"/>
        </w:rPr>
        <w:t>adozione</w:t>
      </w:r>
      <w:r w:rsidRPr="008D066C">
        <w:rPr>
          <w:rFonts w:ascii="Bookman Old Style" w:hAnsi="Bookman Old Style" w:cs="Times New Roman"/>
          <w:color w:val="000000"/>
        </w:rPr>
        <w:t xml:space="preserve">, sentiti la regione e gli enti locali interessati, </w:t>
      </w:r>
      <w:r w:rsidRPr="008D066C">
        <w:rPr>
          <w:rFonts w:ascii="Bookman Old Style" w:hAnsi="Bookman Old Style" w:cs="Times New Roman"/>
          <w:b/>
          <w:bCs/>
          <w:color w:val="000000"/>
        </w:rPr>
        <w:t xml:space="preserve">di uno o più decreti del Ministro dell'ambiente </w:t>
      </w:r>
      <w:r w:rsidRPr="008D066C">
        <w:rPr>
          <w:rFonts w:ascii="Bookman Old Style" w:hAnsi="Bookman Old Style" w:cs="Times New Roman"/>
          <w:color w:val="000000"/>
        </w:rPr>
        <w:t>e della sicurezza energetica.</w:t>
      </w:r>
    </w:p>
    <w:p w14:paraId="44F38CC5" w14:textId="7702178E" w:rsidR="008D066C" w:rsidRDefault="008D066C" w:rsidP="008D066C">
      <w:pPr>
        <w:autoSpaceDE w:val="0"/>
        <w:autoSpaceDN w:val="0"/>
        <w:adjustRightInd w:val="0"/>
        <w:spacing w:after="0" w:line="240" w:lineRule="auto"/>
        <w:jc w:val="both"/>
        <w:rPr>
          <w:rFonts w:ascii="Bookman Old Style" w:hAnsi="Bookman Old Style" w:cs="Times New Roman"/>
          <w:color w:val="000000"/>
        </w:rPr>
      </w:pPr>
    </w:p>
    <w:p w14:paraId="264E87D0" w14:textId="77777777" w:rsidR="009E2B97" w:rsidRPr="008D066C" w:rsidRDefault="009E2B97" w:rsidP="008D066C">
      <w:pPr>
        <w:autoSpaceDE w:val="0"/>
        <w:autoSpaceDN w:val="0"/>
        <w:adjustRightInd w:val="0"/>
        <w:spacing w:after="0" w:line="240" w:lineRule="auto"/>
        <w:jc w:val="both"/>
        <w:rPr>
          <w:rFonts w:ascii="Bookman Old Style" w:hAnsi="Bookman Old Style" w:cs="Times New Roman"/>
          <w:color w:val="000000"/>
        </w:rPr>
      </w:pPr>
    </w:p>
    <w:p w14:paraId="4E6C3A22" w14:textId="77777777" w:rsidR="008D066C" w:rsidRPr="008D066C" w:rsidRDefault="008D066C" w:rsidP="008D066C">
      <w:pPr>
        <w:autoSpaceDE w:val="0"/>
        <w:autoSpaceDN w:val="0"/>
        <w:adjustRightInd w:val="0"/>
        <w:spacing w:after="0" w:line="240" w:lineRule="auto"/>
        <w:jc w:val="both"/>
        <w:rPr>
          <w:rFonts w:ascii="Bookman Old Style" w:hAnsi="Bookman Old Style" w:cs="Times New Roman"/>
          <w:color w:val="000000"/>
        </w:rPr>
      </w:pPr>
    </w:p>
    <w:p w14:paraId="28FEF8A7" w14:textId="77777777" w:rsidR="008D066C" w:rsidRPr="004020E9" w:rsidRDefault="008D066C" w:rsidP="008D066C">
      <w:pPr>
        <w:numPr>
          <w:ilvl w:val="0"/>
          <w:numId w:val="7"/>
        </w:numPr>
        <w:autoSpaceDE w:val="0"/>
        <w:autoSpaceDN w:val="0"/>
        <w:spacing w:after="0" w:line="240" w:lineRule="auto"/>
        <w:contextualSpacing/>
        <w:jc w:val="both"/>
        <w:rPr>
          <w:rFonts w:ascii="Bookman Old Style" w:eastAsiaTheme="majorEastAsia" w:hAnsi="Bookman Old Style" w:cstheme="majorBidi"/>
          <w:b/>
          <w:bCs/>
          <w:i/>
          <w:iCs/>
          <w:color w:val="2F5496" w:themeColor="accent1" w:themeShade="BF"/>
        </w:rPr>
      </w:pPr>
      <w:r w:rsidRPr="008D066C">
        <w:rPr>
          <w:rFonts w:ascii="Bookman Old Style" w:eastAsiaTheme="majorEastAsia" w:hAnsi="Bookman Old Style" w:cstheme="majorBidi"/>
          <w:b/>
          <w:bCs/>
          <w:color w:val="2F5496" w:themeColor="accent1" w:themeShade="BF"/>
        </w:rPr>
        <w:t xml:space="preserve">Sospensione delle modifiche unilaterali dei contratti di fornitura di energia elettrica e gas naturale </w:t>
      </w:r>
      <w:r w:rsidRPr="004020E9">
        <w:rPr>
          <w:rFonts w:ascii="Bookman Old Style" w:eastAsiaTheme="majorEastAsia" w:hAnsi="Bookman Old Style" w:cstheme="majorBidi"/>
          <w:b/>
          <w:bCs/>
          <w:i/>
          <w:iCs/>
          <w:color w:val="2F5496" w:themeColor="accent1" w:themeShade="BF"/>
        </w:rPr>
        <w:t>(Art. 11, comma 8)</w:t>
      </w:r>
    </w:p>
    <w:p w14:paraId="5895F163" w14:textId="77777777" w:rsidR="008D066C" w:rsidRPr="008D066C" w:rsidRDefault="008D066C" w:rsidP="008D066C">
      <w:pPr>
        <w:autoSpaceDE w:val="0"/>
        <w:autoSpaceDN w:val="0"/>
        <w:adjustRightInd w:val="0"/>
        <w:spacing w:after="0" w:line="240" w:lineRule="auto"/>
        <w:jc w:val="both"/>
        <w:rPr>
          <w:rFonts w:ascii="Bookman Old Style" w:eastAsia="Times New Roman" w:hAnsi="Bookman Old Style"/>
        </w:rPr>
      </w:pPr>
      <w:r w:rsidRPr="008D066C">
        <w:rPr>
          <w:rFonts w:ascii="Bookman Old Style" w:hAnsi="Bookman Old Style" w:cs="Times New Roman"/>
          <w:color w:val="000000"/>
        </w:rPr>
        <w:t>La norma</w:t>
      </w:r>
      <w:r w:rsidRPr="008D066C">
        <w:rPr>
          <w:rFonts w:ascii="Bookman Old Style" w:hAnsi="Bookman Old Style" w:cs="Times New Roman"/>
          <w:b/>
          <w:bCs/>
          <w:color w:val="000000"/>
        </w:rPr>
        <w:t xml:space="preserve"> </w:t>
      </w:r>
      <w:r w:rsidRPr="008D066C">
        <w:rPr>
          <w:rFonts w:ascii="Bookman Old Style" w:hAnsi="Bookman Old Style" w:cs="Times New Roman"/>
          <w:color w:val="000000"/>
        </w:rPr>
        <w:t xml:space="preserve">proroga </w:t>
      </w:r>
      <w:r w:rsidRPr="008D066C">
        <w:rPr>
          <w:rFonts w:ascii="Bookman Old Style" w:hAnsi="Bookman Old Style" w:cs="Times New Roman"/>
          <w:b/>
          <w:bCs/>
          <w:color w:val="000000"/>
        </w:rPr>
        <w:t>fino al 30 giugno 2023</w:t>
      </w:r>
      <w:r w:rsidRPr="008D066C">
        <w:rPr>
          <w:rFonts w:ascii="Bookman Old Style" w:hAnsi="Bookman Old Style" w:cs="Times New Roman"/>
          <w:color w:val="000000"/>
        </w:rPr>
        <w:t xml:space="preserve">, la </w:t>
      </w:r>
      <w:r w:rsidRPr="008D066C">
        <w:rPr>
          <w:rFonts w:ascii="Bookman Old Style" w:hAnsi="Bookman Old Style" w:cs="Times New Roman"/>
          <w:b/>
          <w:bCs/>
          <w:color w:val="000000"/>
        </w:rPr>
        <w:t xml:space="preserve">sospensione dell’efficacia delle clausole </w:t>
      </w:r>
      <w:r w:rsidRPr="008D066C">
        <w:rPr>
          <w:rFonts w:ascii="Bookman Old Style" w:hAnsi="Bookman Old Style" w:cs="Times New Roman"/>
          <w:color w:val="000000"/>
        </w:rPr>
        <w:t xml:space="preserve">contrattuali </w:t>
      </w:r>
      <w:r w:rsidRPr="008D066C">
        <w:rPr>
          <w:rFonts w:ascii="Bookman Old Style" w:hAnsi="Bookman Old Style" w:cs="Times New Roman"/>
          <w:b/>
          <w:bCs/>
          <w:color w:val="000000"/>
        </w:rPr>
        <w:t xml:space="preserve">che consentono all’impresa fornitrice di energia elettrica e gas naturale di modificare unilateralmente </w:t>
      </w:r>
      <w:r w:rsidRPr="008D066C">
        <w:rPr>
          <w:rFonts w:ascii="Bookman Old Style" w:hAnsi="Bookman Old Style" w:cs="Times New Roman"/>
          <w:color w:val="000000"/>
        </w:rPr>
        <w:t xml:space="preserve">le condizioni generali di contratto relative alla definizione del </w:t>
      </w:r>
      <w:r w:rsidRPr="008D066C">
        <w:rPr>
          <w:rFonts w:ascii="Bookman Old Style" w:hAnsi="Bookman Old Style" w:cs="Times New Roman"/>
          <w:b/>
          <w:bCs/>
          <w:color w:val="000000"/>
        </w:rPr>
        <w:t>prezzo</w:t>
      </w:r>
      <w:r w:rsidRPr="008D066C">
        <w:rPr>
          <w:rFonts w:ascii="Bookman Old Style" w:hAnsi="Bookman Old Style" w:cs="Times New Roman"/>
          <w:color w:val="000000"/>
        </w:rPr>
        <w:t xml:space="preserve">. Precisa, inoltre, che tale sospensione </w:t>
      </w:r>
      <w:r w:rsidRPr="008D066C">
        <w:rPr>
          <w:rFonts w:ascii="Bookman Old Style" w:hAnsi="Bookman Old Style" w:cs="Times New Roman"/>
          <w:b/>
          <w:bCs/>
          <w:color w:val="000000"/>
        </w:rPr>
        <w:t xml:space="preserve">non si applica </w:t>
      </w:r>
      <w:r w:rsidRPr="008D066C">
        <w:rPr>
          <w:rFonts w:ascii="Bookman Old Style" w:hAnsi="Bookman Old Style" w:cs="Times New Roman"/>
          <w:color w:val="000000"/>
        </w:rPr>
        <w:t xml:space="preserve">alle clausole che consentono all’impresa fornitrice di </w:t>
      </w:r>
      <w:r w:rsidRPr="008D066C">
        <w:rPr>
          <w:rFonts w:ascii="Bookman Old Style" w:hAnsi="Bookman Old Style" w:cs="Times New Roman"/>
          <w:b/>
          <w:bCs/>
          <w:color w:val="000000"/>
        </w:rPr>
        <w:t>aggiornare le condizioni economiche contrattuali alla loro scadenza</w:t>
      </w:r>
      <w:r w:rsidRPr="008D066C">
        <w:rPr>
          <w:rFonts w:ascii="Bookman Old Style" w:hAnsi="Bookman Old Style" w:cs="Times New Roman"/>
          <w:color w:val="000000"/>
        </w:rPr>
        <w:t>.</w:t>
      </w:r>
    </w:p>
    <w:p w14:paraId="76740A82" w14:textId="77777777" w:rsidR="000A4DEB" w:rsidRDefault="000A4DEB" w:rsidP="008D066C">
      <w:pPr>
        <w:spacing w:after="0" w:line="240" w:lineRule="auto"/>
        <w:jc w:val="both"/>
        <w:rPr>
          <w:rFonts w:ascii="Bookman Old Style" w:eastAsia="Times New Roman" w:hAnsi="Bookman Old Style"/>
        </w:rPr>
      </w:pPr>
    </w:p>
    <w:p w14:paraId="3ED18FF3" w14:textId="67A554DD" w:rsidR="0083187D" w:rsidRPr="004020E9" w:rsidRDefault="0083187D" w:rsidP="00E41FD9">
      <w:pPr>
        <w:numPr>
          <w:ilvl w:val="0"/>
          <w:numId w:val="7"/>
        </w:numPr>
        <w:autoSpaceDE w:val="0"/>
        <w:autoSpaceDN w:val="0"/>
        <w:spacing w:after="0" w:line="240" w:lineRule="auto"/>
        <w:contextualSpacing/>
        <w:jc w:val="both"/>
        <w:rPr>
          <w:rFonts w:ascii="Bookman Old Style" w:eastAsiaTheme="majorEastAsia" w:hAnsi="Bookman Old Style" w:cstheme="majorBidi"/>
          <w:b/>
          <w:bCs/>
          <w:i/>
          <w:iCs/>
          <w:color w:val="2F5496" w:themeColor="accent1" w:themeShade="BF"/>
        </w:rPr>
      </w:pPr>
      <w:r w:rsidRPr="002F606A">
        <w:rPr>
          <w:rFonts w:ascii="Bookman Old Style" w:eastAsiaTheme="majorEastAsia" w:hAnsi="Bookman Old Style" w:cstheme="majorBidi"/>
          <w:b/>
          <w:bCs/>
          <w:color w:val="2F5496" w:themeColor="accent1" w:themeShade="BF"/>
        </w:rPr>
        <w:t xml:space="preserve">Proventi </w:t>
      </w:r>
      <w:r w:rsidR="00CF7ECD">
        <w:rPr>
          <w:rFonts w:ascii="Bookman Old Style" w:eastAsiaTheme="majorEastAsia" w:hAnsi="Bookman Old Style" w:cstheme="majorBidi"/>
          <w:b/>
          <w:bCs/>
          <w:color w:val="2F5496" w:themeColor="accent1" w:themeShade="BF"/>
        </w:rPr>
        <w:t xml:space="preserve">da </w:t>
      </w:r>
      <w:r w:rsidRPr="002F606A">
        <w:rPr>
          <w:rFonts w:ascii="Bookman Old Style" w:eastAsiaTheme="majorEastAsia" w:hAnsi="Bookman Old Style" w:cstheme="majorBidi"/>
          <w:b/>
          <w:bCs/>
          <w:color w:val="2F5496" w:themeColor="accent1" w:themeShade="BF"/>
        </w:rPr>
        <w:t xml:space="preserve">sanzioni codice della strada </w:t>
      </w:r>
      <w:r w:rsidR="00DF0E95">
        <w:rPr>
          <w:rFonts w:ascii="Bookman Old Style" w:eastAsiaTheme="majorEastAsia" w:hAnsi="Bookman Old Style" w:cstheme="majorBidi"/>
          <w:b/>
          <w:bCs/>
          <w:color w:val="2F5496" w:themeColor="accent1" w:themeShade="BF"/>
        </w:rPr>
        <w:t xml:space="preserve">e introiti </w:t>
      </w:r>
      <w:r w:rsidR="00CF7ECD">
        <w:rPr>
          <w:rFonts w:ascii="Bookman Old Style" w:eastAsiaTheme="majorEastAsia" w:hAnsi="Bookman Old Style" w:cstheme="majorBidi"/>
          <w:b/>
          <w:bCs/>
          <w:color w:val="2F5496" w:themeColor="accent1" w:themeShade="BF"/>
        </w:rPr>
        <w:t xml:space="preserve">da parcheggi </w:t>
      </w:r>
      <w:r w:rsidRPr="002F606A">
        <w:rPr>
          <w:rFonts w:ascii="Bookman Old Style" w:eastAsiaTheme="majorEastAsia" w:hAnsi="Bookman Old Style" w:cstheme="majorBidi"/>
          <w:b/>
          <w:bCs/>
          <w:color w:val="2F5496" w:themeColor="accent1" w:themeShade="BF"/>
        </w:rPr>
        <w:t xml:space="preserve">per spese energetiche </w:t>
      </w:r>
      <w:r w:rsidRPr="004020E9">
        <w:rPr>
          <w:rFonts w:ascii="Bookman Old Style" w:eastAsiaTheme="majorEastAsia" w:hAnsi="Bookman Old Style" w:cstheme="majorBidi"/>
          <w:b/>
          <w:bCs/>
          <w:i/>
          <w:iCs/>
          <w:color w:val="2F5496" w:themeColor="accent1" w:themeShade="BF"/>
        </w:rPr>
        <w:t>(Art. 11, comma 8 decies)</w:t>
      </w:r>
    </w:p>
    <w:p w14:paraId="26DA598E" w14:textId="7D512D0C" w:rsidR="0093175A" w:rsidRDefault="0083187D" w:rsidP="0083187D">
      <w:pPr>
        <w:spacing w:after="0" w:line="240" w:lineRule="auto"/>
        <w:jc w:val="both"/>
        <w:rPr>
          <w:i/>
          <w:iCs/>
        </w:rPr>
      </w:pPr>
      <w:r w:rsidRPr="00E41FD9">
        <w:rPr>
          <w:rFonts w:ascii="Bookman Old Style" w:hAnsi="Bookman Old Style"/>
        </w:rPr>
        <w:t>L</w:t>
      </w:r>
      <w:r w:rsidR="00D313C4">
        <w:rPr>
          <w:rFonts w:ascii="Bookman Old Style" w:hAnsi="Bookman Old Style"/>
        </w:rPr>
        <w:t xml:space="preserve">a </w:t>
      </w:r>
      <w:r w:rsidR="00D313C4" w:rsidRPr="00D313C4">
        <w:rPr>
          <w:rFonts w:ascii="Bookman Old Style" w:hAnsi="Bookman Old Style"/>
          <w:b/>
          <w:bCs/>
        </w:rPr>
        <w:t>norma approvata in Senato</w:t>
      </w:r>
      <w:r w:rsidRPr="00E41FD9">
        <w:rPr>
          <w:rFonts w:ascii="Bookman Old Style" w:hAnsi="Bookman Old Style"/>
        </w:rPr>
        <w:t>,</w:t>
      </w:r>
      <w:r w:rsidR="00636197" w:rsidRPr="00E41FD9">
        <w:rPr>
          <w:rFonts w:ascii="Bookman Old Style" w:hAnsi="Bookman Old Style"/>
        </w:rPr>
        <w:t xml:space="preserve"> </w:t>
      </w:r>
      <w:r w:rsidR="00CE19F4" w:rsidRPr="00E41FD9">
        <w:rPr>
          <w:rFonts w:ascii="Bookman Old Style" w:hAnsi="Bookman Old Style"/>
        </w:rPr>
        <w:t xml:space="preserve">consente a comuni, unioni di comuni, province e città metropolitane di utilizzare anche nel corso del 2023, a copertura delle spese per utenze energetiche, </w:t>
      </w:r>
      <w:r w:rsidR="00CE19F4" w:rsidRPr="00AA327C">
        <w:rPr>
          <w:rFonts w:ascii="Bookman Old Style" w:hAnsi="Bookman Old Style"/>
          <w:b/>
          <w:bCs/>
          <w:i/>
          <w:iCs/>
        </w:rPr>
        <w:t>le riscossioni in conto competenza e in conto residui afferenti agli accertamenti di competenza 2022 – per la sola quota di propria spettanza – derivanti da multe per violazione del codice della strada o da soste a pagamento in aree destinate al parcheggio,</w:t>
      </w:r>
      <w:r w:rsidR="00CE19F4" w:rsidRPr="00E41FD9">
        <w:rPr>
          <w:rFonts w:ascii="Bookman Old Style" w:hAnsi="Bookman Old Style"/>
        </w:rPr>
        <w:t xml:space="preserve"> come disposto dal successivo comma 2 dell’articolo </w:t>
      </w:r>
      <w:r w:rsidR="008E40A4" w:rsidRPr="00FC7ED7">
        <w:rPr>
          <w:rFonts w:ascii="Bookman Old Style" w:hAnsi="Bookman Old Style"/>
        </w:rPr>
        <w:t>40</w:t>
      </w:r>
      <w:r w:rsidR="008E40A4" w:rsidRPr="00E41FD9">
        <w:rPr>
          <w:rFonts w:ascii="Bookman Old Style" w:hAnsi="Bookman Old Style"/>
        </w:rPr>
        <w:t>-bis del decreto-legge 17 maggio 2022, n.</w:t>
      </w:r>
      <w:r w:rsidR="008E40A4">
        <w:rPr>
          <w:rFonts w:ascii="Bookman Old Style" w:hAnsi="Bookman Old Style"/>
        </w:rPr>
        <w:t xml:space="preserve"> </w:t>
      </w:r>
      <w:r w:rsidR="008E40A4" w:rsidRPr="00E41FD9">
        <w:rPr>
          <w:rFonts w:ascii="Bookman Old Style" w:hAnsi="Bookman Old Style"/>
        </w:rPr>
        <w:t>50</w:t>
      </w:r>
      <w:r w:rsidR="00CE19F4" w:rsidRPr="00E41FD9">
        <w:rPr>
          <w:rFonts w:ascii="Bookman Old Style" w:hAnsi="Bookman Old Style"/>
        </w:rPr>
        <w:t>.</w:t>
      </w:r>
      <w:r w:rsidR="00A26AF1" w:rsidRPr="00A26AF1">
        <w:rPr>
          <w:i/>
          <w:iCs/>
        </w:rPr>
        <w:t xml:space="preserve"> </w:t>
      </w:r>
    </w:p>
    <w:p w14:paraId="5A6DD905" w14:textId="27669E79" w:rsidR="003604A1" w:rsidRPr="00A93FFC" w:rsidRDefault="00A26AF1" w:rsidP="0083187D">
      <w:pPr>
        <w:spacing w:after="0" w:line="240" w:lineRule="auto"/>
        <w:jc w:val="both"/>
        <w:rPr>
          <w:rFonts w:ascii="Bookman Old Style" w:hAnsi="Bookman Old Style"/>
        </w:rPr>
      </w:pPr>
      <w:r w:rsidRPr="00E41FD9">
        <w:rPr>
          <w:rFonts w:ascii="Bookman Old Style" w:hAnsi="Bookman Old Style"/>
        </w:rPr>
        <w:t>In definitiva, quindi, nel corso del 2023 gli enti locali potranno finanziare il caro bollette utilizzando i richiamati accertamenti confluiti in avanzo di amministrazione a fine esercizio 2022 e per i quali si è registrato un effettivo incasso, anche successivo alla data del 31.12.2022.</w:t>
      </w:r>
    </w:p>
    <w:p w14:paraId="3CCC25F0" w14:textId="35EB8A46" w:rsidR="003604A1" w:rsidRDefault="003604A1" w:rsidP="0083187D">
      <w:pPr>
        <w:spacing w:after="0" w:line="240" w:lineRule="auto"/>
        <w:jc w:val="both"/>
        <w:rPr>
          <w:rFonts w:ascii="Bookman Old Style" w:hAnsi="Bookman Old Style"/>
        </w:rPr>
      </w:pPr>
    </w:p>
    <w:p w14:paraId="7E32554D" w14:textId="77777777" w:rsidR="00E21168" w:rsidRPr="0068002F" w:rsidRDefault="00E21168" w:rsidP="00E21168">
      <w:pPr>
        <w:pStyle w:val="Paragrafoelenco"/>
        <w:numPr>
          <w:ilvl w:val="0"/>
          <w:numId w:val="5"/>
        </w:numPr>
        <w:spacing w:after="0" w:line="240" w:lineRule="auto"/>
        <w:rPr>
          <w:rFonts w:ascii="Bookman Old Style" w:eastAsiaTheme="majorEastAsia" w:hAnsi="Bookman Old Style" w:cstheme="majorBidi"/>
          <w:b/>
          <w:bCs/>
          <w:color w:val="2F5496" w:themeColor="accent1" w:themeShade="BF"/>
        </w:rPr>
      </w:pPr>
      <w:r w:rsidRPr="0068002F">
        <w:rPr>
          <w:rFonts w:ascii="Bookman Old Style" w:eastAsiaTheme="majorEastAsia" w:hAnsi="Bookman Old Style" w:cstheme="majorBidi"/>
          <w:b/>
          <w:bCs/>
          <w:color w:val="2F5496" w:themeColor="accent1" w:themeShade="BF"/>
        </w:rPr>
        <w:t xml:space="preserve">Proroga criteri per qualifica rifiuti </w:t>
      </w:r>
      <w:r w:rsidRPr="004020E9">
        <w:rPr>
          <w:rFonts w:ascii="Bookman Old Style" w:eastAsiaTheme="majorEastAsia" w:hAnsi="Bookman Old Style" w:cstheme="majorBidi"/>
          <w:b/>
          <w:bCs/>
          <w:i/>
          <w:iCs/>
          <w:color w:val="2F5496" w:themeColor="accent1" w:themeShade="BF"/>
        </w:rPr>
        <w:t>(Art. 11, comma 8 undecies)</w:t>
      </w:r>
    </w:p>
    <w:p w14:paraId="6BFF7596" w14:textId="7A39F2CB" w:rsidR="00E21168" w:rsidRPr="0056748D" w:rsidRDefault="00E21168" w:rsidP="00E21168">
      <w:pPr>
        <w:spacing w:after="0" w:line="240" w:lineRule="auto"/>
        <w:jc w:val="both"/>
        <w:rPr>
          <w:rFonts w:ascii="Bookman Old Style" w:eastAsia="Times New Roman" w:hAnsi="Bookman Old Style"/>
        </w:rPr>
      </w:pPr>
      <w:r w:rsidRPr="0068002F">
        <w:rPr>
          <w:rFonts w:ascii="Bookman Old Style" w:hAnsi="Bookman Old Style"/>
          <w:b/>
          <w:bCs/>
        </w:rPr>
        <w:t>L</w:t>
      </w:r>
      <w:r w:rsidR="004365D5">
        <w:rPr>
          <w:rFonts w:ascii="Bookman Old Style" w:hAnsi="Bookman Old Style"/>
          <w:b/>
          <w:bCs/>
        </w:rPr>
        <w:t>a norma approvata in Senato</w:t>
      </w:r>
      <w:r w:rsidRPr="0068002F">
        <w:rPr>
          <w:rFonts w:ascii="Bookman Old Style" w:hAnsi="Bookman Old Style"/>
        </w:rPr>
        <w:t xml:space="preserve">, </w:t>
      </w:r>
      <w:r w:rsidRPr="0068002F">
        <w:rPr>
          <w:rFonts w:ascii="Bookman Old Style" w:eastAsia="Times New Roman" w:hAnsi="Bookman Old Style"/>
        </w:rPr>
        <w:t xml:space="preserve">proroga di sei mesi la fine del monitoraggio sul decreto </w:t>
      </w:r>
      <w:r w:rsidRPr="0068002F">
        <w:rPr>
          <w:rFonts w:ascii="Bookman Old Style" w:eastAsia="Times New Roman" w:hAnsi="Bookman Old Style"/>
          <w:i/>
          <w:iCs/>
        </w:rPr>
        <w:t>end of waste</w:t>
      </w:r>
      <w:r w:rsidRPr="0068002F">
        <w:rPr>
          <w:rFonts w:ascii="Bookman Old Style" w:eastAsia="Times New Roman" w:hAnsi="Bookman Old Style"/>
        </w:rPr>
        <w:t xml:space="preserve"> per i rifiuti da costruzione e demolizione (portandolo dal 4 maggio al 4 novembre 2023), parimenti viene prorogato il termine entro cui gli impianti dovranno adeguare le autorizzazioni (il nuovo termine sarebbe quindi il 4 maggio 2024). Con tale proroga si vuole dare atto delle problematiche poste dai riciclatori circa i valori troppo stringenti di alcuni inquinanti consentiti per il recupero, consentendo al Ministero di rivedere la sua posizione in merito</w:t>
      </w:r>
      <w:r w:rsidR="0068002F">
        <w:rPr>
          <w:rFonts w:ascii="Bookman Old Style" w:eastAsia="Times New Roman" w:hAnsi="Bookman Old Style"/>
        </w:rPr>
        <w:t>.</w:t>
      </w:r>
    </w:p>
    <w:p w14:paraId="2405BC71" w14:textId="77777777" w:rsidR="00BE71AB" w:rsidRPr="008D066C" w:rsidRDefault="00BE71AB" w:rsidP="008D066C">
      <w:pPr>
        <w:spacing w:after="0" w:line="240" w:lineRule="auto"/>
        <w:jc w:val="both"/>
        <w:rPr>
          <w:rFonts w:ascii="Bookman Old Style" w:eastAsia="Times New Roman" w:hAnsi="Bookman Old Style"/>
        </w:rPr>
      </w:pPr>
    </w:p>
    <w:p w14:paraId="6D14E2E0" w14:textId="77777777" w:rsidR="008D066C" w:rsidRPr="008D066C" w:rsidRDefault="008D066C" w:rsidP="008D066C">
      <w:pPr>
        <w:numPr>
          <w:ilvl w:val="0"/>
          <w:numId w:val="7"/>
        </w:numPr>
        <w:autoSpaceDE w:val="0"/>
        <w:autoSpaceDN w:val="0"/>
        <w:spacing w:after="0" w:line="240" w:lineRule="auto"/>
        <w:contextualSpacing/>
        <w:jc w:val="both"/>
        <w:rPr>
          <w:rFonts w:ascii="Bookman Old Style" w:eastAsiaTheme="majorEastAsia" w:hAnsi="Bookman Old Style" w:cstheme="majorBidi"/>
          <w:b/>
          <w:bCs/>
          <w:color w:val="2F5496" w:themeColor="accent1" w:themeShade="BF"/>
        </w:rPr>
      </w:pPr>
      <w:r w:rsidRPr="008D066C">
        <w:rPr>
          <w:rFonts w:ascii="Bookman Old Style" w:eastAsiaTheme="majorEastAsia" w:hAnsi="Bookman Old Style" w:cstheme="majorBidi"/>
          <w:b/>
          <w:bCs/>
          <w:color w:val="2F5496" w:themeColor="accent1" w:themeShade="BF"/>
        </w:rPr>
        <w:t xml:space="preserve">Proroga concessioni degli impianti sportivi per le società e associazioni sportive dilettantistiche </w:t>
      </w:r>
      <w:r w:rsidRPr="004020E9">
        <w:rPr>
          <w:rFonts w:ascii="Bookman Old Style" w:eastAsiaTheme="majorEastAsia" w:hAnsi="Bookman Old Style" w:cstheme="majorBidi"/>
          <w:b/>
          <w:bCs/>
          <w:i/>
          <w:iCs/>
          <w:color w:val="2F5496" w:themeColor="accent1" w:themeShade="BF"/>
        </w:rPr>
        <w:t>(Art. 16, comma 4)</w:t>
      </w:r>
    </w:p>
    <w:p w14:paraId="555092C6" w14:textId="77777777" w:rsidR="008D066C" w:rsidRPr="008D066C" w:rsidRDefault="008D066C" w:rsidP="008D066C">
      <w:pPr>
        <w:spacing w:after="0" w:line="240" w:lineRule="auto"/>
        <w:jc w:val="both"/>
        <w:rPr>
          <w:rFonts w:ascii="Bookman Old Style" w:eastAsia="Times New Roman" w:hAnsi="Bookman Old Style"/>
        </w:rPr>
      </w:pPr>
      <w:r w:rsidRPr="008D066C">
        <w:rPr>
          <w:rFonts w:ascii="Bookman Old Style" w:hAnsi="Bookman Old Style"/>
        </w:rPr>
        <w:t xml:space="preserve">La norma, al fine di  sostenere le società e le associazioni sportive dilettantistiche senza scopo di lucro colpite dall'emergenza epidemiologica da COVID-19 e dagli effetti derivanti dall'aumento del costo dell'energia, dispone che le </w:t>
      </w:r>
      <w:r w:rsidRPr="008D066C">
        <w:rPr>
          <w:rFonts w:ascii="Bookman Old Style" w:hAnsi="Bookman Old Style"/>
          <w:b/>
          <w:bCs/>
        </w:rPr>
        <w:t>concessioni alle società e le associazioni sportive dilettantistiche</w:t>
      </w:r>
      <w:r w:rsidRPr="008D066C">
        <w:rPr>
          <w:rFonts w:ascii="Bookman Old Style" w:hAnsi="Bookman Old Style"/>
        </w:rPr>
        <w:t xml:space="preserve"> senza scopo di lucro degli impianti sportivi ubicati su terreni demaniali o comunali, che siano </w:t>
      </w:r>
      <w:r w:rsidRPr="008D066C">
        <w:rPr>
          <w:rFonts w:ascii="Bookman Old Style" w:hAnsi="Bookman Old Style"/>
          <w:b/>
          <w:bCs/>
        </w:rPr>
        <w:t>in attesa di rinnovo o scadute ovvero in scadenza entro il 31 dicembre 2022, sono prorogate al 31 dicembre 2024</w:t>
      </w:r>
      <w:r w:rsidRPr="008D066C">
        <w:rPr>
          <w:rFonts w:ascii="Bookman Old Style" w:hAnsi="Bookman Old Style"/>
        </w:rPr>
        <w:t xml:space="preserve">, allo scopo di consentire il riequilibrio economico-finanziario delle stesse, in vista delle procedure di affidamento che saranno espletate ai sensi delle vigenti disposizioni. </w:t>
      </w:r>
    </w:p>
    <w:p w14:paraId="3425BD24" w14:textId="0724A200" w:rsidR="000329B4" w:rsidRDefault="000329B4" w:rsidP="4D11C804">
      <w:pPr>
        <w:spacing w:after="0" w:line="240" w:lineRule="auto"/>
        <w:jc w:val="both"/>
        <w:rPr>
          <w:rFonts w:ascii="Bookman Old Style" w:hAnsi="Bookman Old Style"/>
        </w:rPr>
      </w:pPr>
    </w:p>
    <w:p w14:paraId="73C42607" w14:textId="5A9DF69A" w:rsidR="000329B4" w:rsidRPr="00D31949" w:rsidRDefault="7D7D88C1" w:rsidP="00CE2851">
      <w:pPr>
        <w:numPr>
          <w:ilvl w:val="0"/>
          <w:numId w:val="7"/>
        </w:numPr>
        <w:autoSpaceDE w:val="0"/>
        <w:autoSpaceDN w:val="0"/>
        <w:spacing w:after="0" w:line="240" w:lineRule="auto"/>
        <w:contextualSpacing/>
        <w:jc w:val="both"/>
        <w:rPr>
          <w:rFonts w:ascii="Bookman Old Style" w:eastAsiaTheme="majorEastAsia" w:hAnsi="Bookman Old Style" w:cstheme="majorBidi"/>
          <w:b/>
          <w:bCs/>
          <w:i/>
          <w:iCs/>
          <w:color w:val="2F5496" w:themeColor="accent1" w:themeShade="BF"/>
        </w:rPr>
      </w:pPr>
      <w:r w:rsidRPr="00CE2851">
        <w:rPr>
          <w:rFonts w:ascii="Bookman Old Style" w:eastAsiaTheme="majorEastAsia" w:hAnsi="Bookman Old Style" w:cstheme="majorBidi"/>
          <w:b/>
          <w:bCs/>
          <w:color w:val="2F5496" w:themeColor="accent1" w:themeShade="BF"/>
        </w:rPr>
        <w:t>Ulteriore proroga dei termini in materia di registrazione degli aiuti di Stato COVID-19</w:t>
      </w:r>
      <w:r w:rsidR="453F39F4" w:rsidRPr="4D11C804">
        <w:rPr>
          <w:rFonts w:ascii="Bookman Old Style" w:eastAsiaTheme="majorEastAsia" w:hAnsi="Bookman Old Style" w:cstheme="majorBidi"/>
          <w:b/>
          <w:bCs/>
          <w:color w:val="2F5496" w:themeColor="accent1" w:themeShade="BF"/>
        </w:rPr>
        <w:t xml:space="preserve"> </w:t>
      </w:r>
      <w:r w:rsidR="453F39F4" w:rsidRPr="00D31949">
        <w:rPr>
          <w:rFonts w:ascii="Bookman Old Style" w:eastAsiaTheme="majorEastAsia" w:hAnsi="Bookman Old Style" w:cstheme="majorBidi"/>
          <w:b/>
          <w:bCs/>
          <w:i/>
          <w:iCs/>
          <w:color w:val="2F5496" w:themeColor="accent1" w:themeShade="BF"/>
        </w:rPr>
        <w:t xml:space="preserve">(Art. </w:t>
      </w:r>
      <w:r w:rsidR="102D19CC" w:rsidRPr="00D31949">
        <w:rPr>
          <w:rFonts w:ascii="Bookman Old Style" w:eastAsiaTheme="majorEastAsia" w:hAnsi="Bookman Old Style" w:cstheme="majorBidi"/>
          <w:b/>
          <w:bCs/>
          <w:i/>
          <w:iCs/>
          <w:color w:val="2F5496" w:themeColor="accent1" w:themeShade="BF"/>
        </w:rPr>
        <w:t>22</w:t>
      </w:r>
      <w:r w:rsidR="453F39F4" w:rsidRPr="00D31949">
        <w:rPr>
          <w:rFonts w:ascii="Bookman Old Style" w:eastAsiaTheme="majorEastAsia" w:hAnsi="Bookman Old Style" w:cstheme="majorBidi"/>
          <w:b/>
          <w:bCs/>
          <w:i/>
          <w:iCs/>
          <w:color w:val="2F5496" w:themeColor="accent1" w:themeShade="BF"/>
        </w:rPr>
        <w:t>)</w:t>
      </w:r>
    </w:p>
    <w:p w14:paraId="35783024" w14:textId="0DDB15A7" w:rsidR="000329B4" w:rsidRDefault="6B7E5CA7" w:rsidP="0AE1B3BC">
      <w:pPr>
        <w:spacing w:after="0" w:line="240" w:lineRule="auto"/>
        <w:jc w:val="both"/>
        <w:rPr>
          <w:rFonts w:ascii="Bookman Old Style" w:eastAsia="Bookman Old Style" w:hAnsi="Bookman Old Style" w:cs="Bookman Old Style"/>
        </w:rPr>
      </w:pPr>
      <w:r w:rsidRPr="0AE1B3BC">
        <w:rPr>
          <w:rFonts w:ascii="Bookman Old Style" w:hAnsi="Bookman Old Style"/>
        </w:rPr>
        <w:t xml:space="preserve">La norma </w:t>
      </w:r>
      <w:r w:rsidR="576DC0BA" w:rsidRPr="0AE1B3BC">
        <w:rPr>
          <w:rFonts w:ascii="Bookman Old Style" w:eastAsia="Bookman Old Style" w:hAnsi="Bookman Old Style" w:cs="Bookman Old Style"/>
        </w:rPr>
        <w:t>proroga al 31 dicembre 2024 il periodo transitorio nel quale l’inadempimento degli obblighi di registrazione degli aiuti di Stato non comporta responsabilità patrimoniale del responsabile della concessione o dell’erogazione degli aiuti medesimi. La disposizione originaria</w:t>
      </w:r>
      <w:r w:rsidR="3E9B2EC0" w:rsidRPr="0AE1B3BC">
        <w:rPr>
          <w:rFonts w:ascii="Bookman Old Style" w:eastAsia="Bookman Old Style" w:hAnsi="Bookman Old Style" w:cs="Bookman Old Style"/>
        </w:rPr>
        <w:t xml:space="preserve"> (art.31-octies c</w:t>
      </w:r>
      <w:r w:rsidR="530859BB" w:rsidRPr="0AE1B3BC">
        <w:rPr>
          <w:rFonts w:ascii="Bookman Old Style" w:eastAsia="Bookman Old Style" w:hAnsi="Bookman Old Style" w:cs="Bookman Old Style"/>
        </w:rPr>
        <w:t xml:space="preserve">omma 1 </w:t>
      </w:r>
      <w:r w:rsidR="3E9B2EC0" w:rsidRPr="0AE1B3BC">
        <w:rPr>
          <w:rFonts w:ascii="Bookman Old Style" w:eastAsia="Bookman Old Style" w:hAnsi="Bookman Old Style" w:cs="Bookman Old Style"/>
        </w:rPr>
        <w:t>del dl 137/2020)</w:t>
      </w:r>
      <w:r w:rsidR="576DC0BA" w:rsidRPr="0AE1B3BC">
        <w:rPr>
          <w:rFonts w:ascii="Bookman Old Style" w:eastAsia="Bookman Old Style" w:hAnsi="Bookman Old Style" w:cs="Bookman Old Style"/>
        </w:rPr>
        <w:t xml:space="preserve"> aveva stabilito che tale periodo fosse compreso fra il 1° gennaio 2020 e il 31 dicembre 2022, termine posticipato al 31 dicembre 2023 dal </w:t>
      </w:r>
      <w:r w:rsidR="76389819" w:rsidRPr="0AE1B3BC">
        <w:rPr>
          <w:rFonts w:ascii="Bookman Old Style" w:eastAsia="Bookman Old Style" w:hAnsi="Bookman Old Style" w:cs="Bookman Old Style"/>
        </w:rPr>
        <w:t>decreto-legge</w:t>
      </w:r>
      <w:r w:rsidR="576DC0BA" w:rsidRPr="0AE1B3BC">
        <w:rPr>
          <w:rFonts w:ascii="Bookman Old Style" w:eastAsia="Bookman Old Style" w:hAnsi="Bookman Old Style" w:cs="Bookman Old Style"/>
        </w:rPr>
        <w:t xml:space="preserve"> 73 del 2022 e </w:t>
      </w:r>
      <w:r w:rsidR="19457A19" w:rsidRPr="0AE1B3BC">
        <w:rPr>
          <w:rFonts w:ascii="Bookman Old Style" w:eastAsia="Bookman Old Style" w:hAnsi="Bookman Old Style" w:cs="Bookman Old Style"/>
        </w:rPr>
        <w:t xml:space="preserve">ora </w:t>
      </w:r>
      <w:r w:rsidR="576DC0BA" w:rsidRPr="0AE1B3BC">
        <w:rPr>
          <w:rFonts w:ascii="Bookman Old Style" w:eastAsia="Bookman Old Style" w:hAnsi="Bookman Old Style" w:cs="Bookman Old Style"/>
        </w:rPr>
        <w:t xml:space="preserve">ulteriormente prorogato al 31 dicembre 2024 dal </w:t>
      </w:r>
      <w:r w:rsidR="375278E3" w:rsidRPr="0AE1B3BC">
        <w:rPr>
          <w:rFonts w:ascii="Bookman Old Style" w:eastAsia="Bookman Old Style" w:hAnsi="Bookman Old Style" w:cs="Bookman Old Style"/>
        </w:rPr>
        <w:t>presente provvedimento.</w:t>
      </w:r>
    </w:p>
    <w:p w14:paraId="0A8A6D76" w14:textId="765FA479" w:rsidR="05CF2642" w:rsidRDefault="324DCBA1" w:rsidP="0AE1B3BC">
      <w:pPr>
        <w:spacing w:after="0" w:line="240" w:lineRule="auto"/>
        <w:jc w:val="both"/>
        <w:rPr>
          <w:rFonts w:ascii="Bookman Old Style" w:eastAsia="Bookman Old Style" w:hAnsi="Bookman Old Style" w:cs="Bookman Old Style"/>
        </w:rPr>
      </w:pPr>
      <w:r w:rsidRPr="0AE1B3BC">
        <w:rPr>
          <w:rFonts w:ascii="Bookman Old Style" w:eastAsia="Bookman Old Style" w:hAnsi="Bookman Old Style" w:cs="Bookman Old Style"/>
        </w:rPr>
        <w:lastRenderedPageBreak/>
        <w:t>Inoltre, viene prorogato al 31 dicembre 2023 il termine per apportare</w:t>
      </w:r>
      <w:r w:rsidR="31ADA5F6" w:rsidRPr="0AE1B3BC">
        <w:rPr>
          <w:rFonts w:ascii="Bookman Old Style" w:eastAsia="Bookman Old Style" w:hAnsi="Bookman Old Style" w:cs="Bookman Old Style"/>
        </w:rPr>
        <w:t xml:space="preserve"> le</w:t>
      </w:r>
      <w:r w:rsidRPr="0AE1B3BC">
        <w:rPr>
          <w:rFonts w:ascii="Bookman Old Style" w:eastAsia="Bookman Old Style" w:hAnsi="Bookman Old Style" w:cs="Bookman Old Style"/>
        </w:rPr>
        <w:t xml:space="preserve"> </w:t>
      </w:r>
      <w:r w:rsidR="72BFAE31" w:rsidRPr="0AE1B3BC">
        <w:rPr>
          <w:rFonts w:ascii="Bookman Old Style" w:eastAsia="Bookman Old Style" w:hAnsi="Bookman Old Style" w:cs="Bookman Old Style"/>
        </w:rPr>
        <w:t>modifiche</w:t>
      </w:r>
      <w:r w:rsidR="63777D15" w:rsidRPr="0AE1B3BC">
        <w:rPr>
          <w:rFonts w:ascii="Bookman Old Style" w:eastAsia="Bookman Old Style" w:hAnsi="Bookman Old Style" w:cs="Bookman Old Style"/>
        </w:rPr>
        <w:t xml:space="preserve"> al DM 115/2017 e all'articolo 52, comma 7, della legge n. 234 del 2012,</w:t>
      </w:r>
      <w:r w:rsidR="72BFAE31" w:rsidRPr="0AE1B3BC">
        <w:rPr>
          <w:rFonts w:ascii="Bookman Old Style" w:eastAsia="Bookman Old Style" w:hAnsi="Bookman Old Style" w:cs="Bookman Old Style"/>
        </w:rPr>
        <w:t xml:space="preserve"> necessarie a definire </w:t>
      </w:r>
      <w:r w:rsidR="72BFAE31" w:rsidRPr="0AE1B3BC">
        <w:rPr>
          <w:rFonts w:ascii="Bookman Old Style" w:eastAsia="Bookman Old Style" w:hAnsi="Bookman Old Style" w:cs="Bookman Old Style"/>
          <w:b/>
          <w:bCs/>
        </w:rPr>
        <w:t xml:space="preserve">modalità semplificate per </w:t>
      </w:r>
      <w:r w:rsidR="4F4937BD" w:rsidRPr="0AE1B3BC">
        <w:rPr>
          <w:rFonts w:ascii="Bookman Old Style" w:eastAsia="Bookman Old Style" w:hAnsi="Bookman Old Style" w:cs="Bookman Old Style"/>
          <w:b/>
          <w:bCs/>
        </w:rPr>
        <w:t xml:space="preserve">l’alimentazione </w:t>
      </w:r>
      <w:r w:rsidR="30301A2D" w:rsidRPr="0AE1B3BC">
        <w:rPr>
          <w:rFonts w:ascii="Bookman Old Style" w:eastAsia="Bookman Old Style" w:hAnsi="Bookman Old Style" w:cs="Bookman Old Style"/>
          <w:b/>
          <w:bCs/>
        </w:rPr>
        <w:t>d</w:t>
      </w:r>
      <w:r w:rsidR="72BFAE31" w:rsidRPr="0AE1B3BC">
        <w:rPr>
          <w:rFonts w:ascii="Bookman Old Style" w:eastAsia="Bookman Old Style" w:hAnsi="Bookman Old Style" w:cs="Bookman Old Style"/>
          <w:b/>
          <w:bCs/>
        </w:rPr>
        <w:t xml:space="preserve">el </w:t>
      </w:r>
      <w:r w:rsidR="2AE8D987" w:rsidRPr="0AE1B3BC">
        <w:rPr>
          <w:rFonts w:ascii="Bookman Old Style" w:eastAsia="Bookman Old Style" w:hAnsi="Bookman Old Style" w:cs="Bookman Old Style"/>
          <w:b/>
          <w:bCs/>
        </w:rPr>
        <w:t xml:space="preserve">RNA </w:t>
      </w:r>
      <w:r w:rsidR="72BFAE31" w:rsidRPr="0AE1B3BC">
        <w:rPr>
          <w:rFonts w:ascii="Bookman Old Style" w:eastAsia="Bookman Old Style" w:hAnsi="Bookman Old Style" w:cs="Bookman Old Style"/>
        </w:rPr>
        <w:t>e a razionalizzare il relativo regime di responsabilità</w:t>
      </w:r>
      <w:r w:rsidR="425219E7" w:rsidRPr="0AE1B3BC">
        <w:rPr>
          <w:rFonts w:ascii="Bookman Old Style" w:eastAsia="Bookman Old Style" w:hAnsi="Bookman Old Style" w:cs="Bookman Old Style"/>
        </w:rPr>
        <w:t>.</w:t>
      </w:r>
    </w:p>
    <w:p w14:paraId="7F94B1DC" w14:textId="32BFBD45" w:rsidR="768D2A2B" w:rsidRDefault="00A88717" w:rsidP="0AE1B3BC">
      <w:pPr>
        <w:spacing w:after="0" w:line="240" w:lineRule="auto"/>
        <w:jc w:val="both"/>
        <w:rPr>
          <w:rFonts w:ascii="Bookman Old Style" w:eastAsia="Bookman Old Style" w:hAnsi="Bookman Old Style" w:cs="Bookman Old Style"/>
        </w:rPr>
      </w:pPr>
      <w:r w:rsidRPr="0AE1B3BC">
        <w:rPr>
          <w:rFonts w:ascii="Bookman Old Style" w:eastAsia="Bookman Old Style" w:hAnsi="Bookman Old Style" w:cs="Bookman Old Style"/>
        </w:rPr>
        <w:t xml:space="preserve">Inoltre, in merito alla registrazione delle misure di aiuto </w:t>
      </w:r>
      <w:r w:rsidR="1F11412C" w:rsidRPr="0AE1B3BC">
        <w:rPr>
          <w:rFonts w:ascii="Bookman Old Style" w:eastAsia="Bookman Old Style" w:hAnsi="Bookman Old Style" w:cs="Bookman Old Style"/>
        </w:rPr>
        <w:t>non subordinati all'emanazione di provvedimenti di concessione o di autorizzazione alla fruizione comunque denominati, ovvero subordinati all'emanazione di provvedimenti il cui importo non è determinabile nei provvedimenti</w:t>
      </w:r>
      <w:r w:rsidR="1D84A5FF" w:rsidRPr="0AE1B3BC">
        <w:rPr>
          <w:rFonts w:ascii="Bookman Old Style" w:eastAsia="Bookman Old Style" w:hAnsi="Bookman Old Style" w:cs="Bookman Old Style"/>
        </w:rPr>
        <w:t xml:space="preserve"> stessi</w:t>
      </w:r>
      <w:r w:rsidR="1F11412C" w:rsidRPr="0AE1B3BC">
        <w:rPr>
          <w:rFonts w:ascii="Bookman Old Style" w:eastAsia="Bookman Old Style" w:hAnsi="Bookman Old Style" w:cs="Bookman Old Style"/>
        </w:rPr>
        <w:t>, ma solo a seguito della presentazione della dichiarazione resa a fini fiscali</w:t>
      </w:r>
      <w:r w:rsidRPr="0AE1B3BC">
        <w:rPr>
          <w:rFonts w:ascii="Bookman Old Style" w:eastAsia="Bookman Old Style" w:hAnsi="Bookman Old Style" w:cs="Bookman Old Style"/>
        </w:rPr>
        <w:t>,</w:t>
      </w:r>
      <w:r w:rsidR="588546E0" w:rsidRPr="0AE1B3BC">
        <w:rPr>
          <w:rFonts w:ascii="Bookman Old Style" w:eastAsia="Bookman Old Style" w:hAnsi="Bookman Old Style" w:cs="Bookman Old Style"/>
        </w:rPr>
        <w:t xml:space="preserve"> sono state inserite le seguenti proroghe dei termini per la registrazione in RNA:</w:t>
      </w:r>
    </w:p>
    <w:p w14:paraId="32B67944" w14:textId="3AE87DDA" w:rsidR="093CBB36" w:rsidRDefault="588546E0" w:rsidP="0AE1B3BC">
      <w:pPr>
        <w:pStyle w:val="Paragrafoelenco"/>
        <w:numPr>
          <w:ilvl w:val="0"/>
          <w:numId w:val="4"/>
        </w:numPr>
        <w:spacing w:after="0" w:line="240" w:lineRule="auto"/>
        <w:jc w:val="both"/>
        <w:rPr>
          <w:rFonts w:ascii="Bookman Old Style" w:eastAsia="Bookman Old Style" w:hAnsi="Bookman Old Style" w:cs="Bookman Old Style"/>
        </w:rPr>
      </w:pPr>
      <w:r w:rsidRPr="0AE1B3BC">
        <w:rPr>
          <w:rFonts w:ascii="Bookman Old Style" w:eastAsia="Bookman Old Style" w:hAnsi="Bookman Old Style" w:cs="Bookman Old Style"/>
        </w:rPr>
        <w:t>i termini con scadenza dal 22 giugno 2022 (data di entrata in vigore del</w:t>
      </w:r>
      <w:r w:rsidR="5FFAF9AF" w:rsidRPr="0AE1B3BC">
        <w:rPr>
          <w:rFonts w:ascii="Bookman Old Style" w:eastAsia="Bookman Old Style" w:hAnsi="Bookman Old Style" w:cs="Bookman Old Style"/>
        </w:rPr>
        <w:t xml:space="preserve"> dl 73/2022</w:t>
      </w:r>
      <w:r w:rsidRPr="0AE1B3BC">
        <w:rPr>
          <w:rFonts w:ascii="Bookman Old Style" w:eastAsia="Bookman Old Style" w:hAnsi="Bookman Old Style" w:cs="Bookman Old Style"/>
        </w:rPr>
        <w:t>) al 31 dicembre 2022, sono prorogati al 30 settembre 2023;</w:t>
      </w:r>
    </w:p>
    <w:p w14:paraId="37B3ACE8" w14:textId="6184C925" w:rsidR="093CBB36" w:rsidRDefault="588546E0" w:rsidP="0AE1B3BC">
      <w:pPr>
        <w:pStyle w:val="Paragrafoelenco"/>
        <w:numPr>
          <w:ilvl w:val="0"/>
          <w:numId w:val="4"/>
        </w:numPr>
        <w:spacing w:after="0" w:line="240" w:lineRule="auto"/>
        <w:jc w:val="both"/>
        <w:rPr>
          <w:rFonts w:ascii="Bookman Old Style" w:eastAsia="Bookman Old Style" w:hAnsi="Bookman Old Style" w:cs="Bookman Old Style"/>
        </w:rPr>
      </w:pPr>
      <w:r w:rsidRPr="0AE1B3BC">
        <w:rPr>
          <w:rFonts w:ascii="Bookman Old Style" w:eastAsia="Bookman Old Style" w:hAnsi="Bookman Old Style" w:cs="Bookman Old Style"/>
        </w:rPr>
        <w:t xml:space="preserve">i termini in scadenza dal 1° gennaio 2023 al 31 dicembre 2023 sono prorogati al 31 marzo 2024; </w:t>
      </w:r>
    </w:p>
    <w:p w14:paraId="2ECEABEC" w14:textId="385CAB47" w:rsidR="093CBB36" w:rsidRDefault="588546E0" w:rsidP="0AE1B3BC">
      <w:pPr>
        <w:pStyle w:val="Paragrafoelenco"/>
        <w:numPr>
          <w:ilvl w:val="0"/>
          <w:numId w:val="4"/>
        </w:numPr>
        <w:spacing w:after="0" w:line="240" w:lineRule="auto"/>
        <w:jc w:val="both"/>
        <w:rPr>
          <w:rFonts w:ascii="Bookman Old Style" w:eastAsia="Bookman Old Style" w:hAnsi="Bookman Old Style" w:cs="Bookman Old Style"/>
        </w:rPr>
      </w:pPr>
      <w:r w:rsidRPr="0AE1B3BC">
        <w:rPr>
          <w:rFonts w:ascii="Bookman Old Style" w:eastAsia="Bookman Old Style" w:hAnsi="Bookman Old Style" w:cs="Bookman Old Style"/>
        </w:rPr>
        <w:t>i termini in scadenza dal 1° gennaio 2024 al 30 giugno 2024 sono prorogati al 30 settembre 2024.</w:t>
      </w:r>
    </w:p>
    <w:p w14:paraId="7E90D870" w14:textId="25D566EF" w:rsidR="009D5BB1" w:rsidRPr="00B834E5" w:rsidRDefault="00B079B3" w:rsidP="00904C57">
      <w:pPr>
        <w:spacing w:after="0" w:line="240" w:lineRule="auto"/>
        <w:jc w:val="both"/>
      </w:pPr>
      <w:r>
        <w:rPr>
          <w:rFonts w:ascii="Bookman Old Style" w:eastAsia="Bookman Old Style" w:hAnsi="Bookman Old Style" w:cs="Bookman Old Style"/>
        </w:rPr>
        <w:t xml:space="preserve">Pertanto, </w:t>
      </w:r>
      <w:r w:rsidR="00BE3194">
        <w:rPr>
          <w:rFonts w:ascii="Bookman Old Style" w:eastAsia="Bookman Old Style" w:hAnsi="Bookman Old Style" w:cs="Bookman Old Style"/>
        </w:rPr>
        <w:t>a fronte della proroga al 30 giugno 2023</w:t>
      </w:r>
      <w:r w:rsidR="00A00970">
        <w:rPr>
          <w:rFonts w:ascii="Bookman Old Style" w:eastAsia="Bookman Old Style" w:hAnsi="Bookman Old Style" w:cs="Bookman Old Style"/>
        </w:rPr>
        <w:t xml:space="preserve"> </w:t>
      </w:r>
      <w:r w:rsidR="00BE3194">
        <w:rPr>
          <w:rFonts w:ascii="Bookman Old Style" w:eastAsia="Bookman Old Style" w:hAnsi="Bookman Old Style" w:cs="Bookman Old Style"/>
        </w:rPr>
        <w:t>della dichiarazione IMU per il 2021</w:t>
      </w:r>
      <w:r w:rsidR="00A00970">
        <w:rPr>
          <w:rFonts w:ascii="Bookman Old Style" w:eastAsia="Bookman Old Style" w:hAnsi="Bookman Old Style" w:cs="Bookman Old Style"/>
        </w:rPr>
        <w:t xml:space="preserve">, si ritiene che il termine per </w:t>
      </w:r>
      <w:r w:rsidR="00D13CC6">
        <w:rPr>
          <w:rFonts w:ascii="Bookman Old Style" w:eastAsia="Bookman Old Style" w:hAnsi="Bookman Old Style" w:cs="Bookman Old Style"/>
        </w:rPr>
        <w:t>l’immissione dei dati nel RNA relativi a</w:t>
      </w:r>
      <w:r w:rsidR="004B7B58">
        <w:rPr>
          <w:rFonts w:ascii="Bookman Old Style" w:eastAsia="Bookman Old Style" w:hAnsi="Bookman Old Style" w:cs="Bookman Old Style"/>
        </w:rPr>
        <w:t>lle agevolazioni “IMU turistica</w:t>
      </w:r>
      <w:r w:rsidR="00A15C6D">
        <w:rPr>
          <w:rFonts w:ascii="Bookman Old Style" w:eastAsia="Bookman Old Style" w:hAnsi="Bookman Old Style" w:cs="Bookman Old Style"/>
        </w:rPr>
        <w:t xml:space="preserve">” sia da considerare prorogato </w:t>
      </w:r>
      <w:r w:rsidR="00F71B48">
        <w:rPr>
          <w:rFonts w:ascii="Bookman Old Style" w:eastAsia="Bookman Old Style" w:hAnsi="Bookman Old Style" w:cs="Bookman Old Style"/>
        </w:rPr>
        <w:t>al 31 marzo 2024</w:t>
      </w:r>
      <w:r w:rsidR="000D66CD">
        <w:rPr>
          <w:rFonts w:ascii="Bookman Old Style" w:eastAsia="Bookman Old Style" w:hAnsi="Bookman Old Style" w:cs="Bookman Old Style"/>
        </w:rPr>
        <w:t>.</w:t>
      </w:r>
    </w:p>
    <w:sectPr w:rsidR="009D5BB1" w:rsidRPr="00B834E5">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FF909" w14:textId="77777777" w:rsidR="00C676D5" w:rsidRDefault="00C676D5" w:rsidP="00E95E7E">
      <w:pPr>
        <w:spacing w:after="0" w:line="240" w:lineRule="auto"/>
      </w:pPr>
      <w:r>
        <w:separator/>
      </w:r>
    </w:p>
  </w:endnote>
  <w:endnote w:type="continuationSeparator" w:id="0">
    <w:p w14:paraId="086CB2A5" w14:textId="77777777" w:rsidR="00C676D5" w:rsidRDefault="00C676D5" w:rsidP="00E95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LT Std">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TimesNewRomanPSMT">
    <w:altName w:val="Klee One"/>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6272949"/>
      <w:docPartObj>
        <w:docPartGallery w:val="Page Numbers (Bottom of Page)"/>
        <w:docPartUnique/>
      </w:docPartObj>
    </w:sdtPr>
    <w:sdtContent>
      <w:p w14:paraId="1E5B39CE" w14:textId="0356C345" w:rsidR="00E95E7E" w:rsidRDefault="00E95E7E">
        <w:pPr>
          <w:pStyle w:val="Pidipagina"/>
          <w:jc w:val="center"/>
        </w:pPr>
        <w:r>
          <w:fldChar w:fldCharType="begin"/>
        </w:r>
        <w:r>
          <w:instrText>PAGE   \* MERGEFORMAT</w:instrText>
        </w:r>
        <w:r>
          <w:fldChar w:fldCharType="separate"/>
        </w:r>
        <w:r>
          <w:t>2</w:t>
        </w:r>
        <w:r>
          <w:fldChar w:fldCharType="end"/>
        </w:r>
      </w:p>
    </w:sdtContent>
  </w:sdt>
  <w:p w14:paraId="23368965" w14:textId="77777777" w:rsidR="00E95E7E" w:rsidRDefault="00E95E7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891BA" w14:textId="77777777" w:rsidR="00C676D5" w:rsidRDefault="00C676D5" w:rsidP="00E95E7E">
      <w:pPr>
        <w:spacing w:after="0" w:line="240" w:lineRule="auto"/>
      </w:pPr>
      <w:r>
        <w:separator/>
      </w:r>
    </w:p>
  </w:footnote>
  <w:footnote w:type="continuationSeparator" w:id="0">
    <w:p w14:paraId="4932CB68" w14:textId="77777777" w:rsidR="00C676D5" w:rsidRDefault="00C676D5" w:rsidP="00E95E7E">
      <w:pPr>
        <w:spacing w:after="0" w:line="240" w:lineRule="auto"/>
      </w:pPr>
      <w:r>
        <w:continuationSeparator/>
      </w:r>
    </w:p>
  </w:footnote>
  <w:footnote w:id="1">
    <w:p w14:paraId="55CEA330" w14:textId="04EC1D10" w:rsidR="001F3891" w:rsidRPr="00F46CBC" w:rsidRDefault="001F3891" w:rsidP="001D7DAD">
      <w:pPr>
        <w:shd w:val="clear" w:color="auto" w:fill="FFFFFF"/>
        <w:spacing w:after="0" w:line="240" w:lineRule="auto"/>
        <w:jc w:val="both"/>
        <w:rPr>
          <w:rFonts w:ascii="Bookman Old Style" w:eastAsia="Times New Roman" w:hAnsi="Bookman Old Style" w:cs="Times New Roman"/>
          <w:sz w:val="20"/>
          <w:szCs w:val="20"/>
          <w:lang w:eastAsia="it-IT"/>
        </w:rPr>
      </w:pPr>
      <w:r w:rsidRPr="00F46CBC">
        <w:rPr>
          <w:rStyle w:val="Rimandonotaapidipagina"/>
          <w:rFonts w:ascii="Bookman Old Style" w:hAnsi="Bookman Old Style"/>
          <w:sz w:val="20"/>
          <w:szCs w:val="20"/>
        </w:rPr>
        <w:footnoteRef/>
      </w:r>
      <w:r w:rsidR="00600DAA" w:rsidRPr="00F46CBC">
        <w:rPr>
          <w:rFonts w:ascii="Bookman Old Style" w:hAnsi="Bookman Old Style"/>
          <w:sz w:val="20"/>
          <w:szCs w:val="20"/>
        </w:rPr>
        <w:t xml:space="preserve"> Art. 3, c</w:t>
      </w:r>
      <w:r w:rsidR="002B361D">
        <w:rPr>
          <w:rFonts w:ascii="Bookman Old Style" w:hAnsi="Bookman Old Style"/>
          <w:sz w:val="20"/>
          <w:szCs w:val="20"/>
        </w:rPr>
        <w:t xml:space="preserve">omma </w:t>
      </w:r>
      <w:r w:rsidR="00600DAA" w:rsidRPr="00F46CBC">
        <w:rPr>
          <w:rFonts w:ascii="Bookman Old Style" w:hAnsi="Bookman Old Style"/>
          <w:sz w:val="20"/>
          <w:szCs w:val="20"/>
        </w:rPr>
        <w:t>3 legge 118/2022</w:t>
      </w:r>
      <w:r w:rsidR="002B361D">
        <w:rPr>
          <w:rFonts w:ascii="Bookman Old Style" w:hAnsi="Bookman Old Style"/>
          <w:sz w:val="20"/>
          <w:szCs w:val="20"/>
        </w:rPr>
        <w:t xml:space="preserve">. </w:t>
      </w:r>
      <w:r w:rsidRPr="00F46CBC">
        <w:rPr>
          <w:rFonts w:ascii="Bookman Old Style" w:eastAsia="Times New Roman" w:hAnsi="Bookman Old Style" w:cs="Times New Roman"/>
          <w:sz w:val="20"/>
          <w:szCs w:val="20"/>
          <w:lang w:eastAsia="it-IT"/>
        </w:rPr>
        <w:t>  In presenza di ragioni oggettive che impediscono la conclusione della procedura selettiva entro il 31 dicembre 2023, connesse, a titolo esemplificativo, alla pendenza di un contenzioso o a difficoltà oggettive legate all'espletamento della procedura stessa, l'autorità competente, con atto motivato, può differire il termine di scadenza delle concessioni in essere per il tempo strettamente necessario alla conclusione della procedura e, comunque, non oltre il 31 dicembre 2024. Fino a tale data l'occupazione dell'area demaniale da parte del concessionario uscente è comunque legittima anche in relazione all'</w:t>
      </w:r>
      <w:hyperlink r:id="rId1" w:history="1">
        <w:r w:rsidRPr="00F46CBC">
          <w:rPr>
            <w:rFonts w:ascii="Bookman Old Style" w:eastAsia="Times New Roman" w:hAnsi="Bookman Old Style" w:cs="Times New Roman"/>
            <w:sz w:val="20"/>
            <w:szCs w:val="20"/>
            <w:lang w:eastAsia="it-IT"/>
          </w:rPr>
          <w:t>articolo 1161 del codice della navigazione</w:t>
        </w:r>
      </w:hyperlink>
      <w:r w:rsidRPr="00F46CBC">
        <w:rPr>
          <w:rFonts w:ascii="Bookman Old Style" w:eastAsia="Times New Roman" w:hAnsi="Bookman Old Style" w:cs="Times New Roman"/>
          <w:sz w:val="20"/>
          <w:szCs w:val="20"/>
          <w:lang w:eastAsia="it-IT"/>
        </w:rPr>
        <w:t>.</w:t>
      </w:r>
    </w:p>
    <w:p w14:paraId="272538AA" w14:textId="73573FCD" w:rsidR="001F3891" w:rsidRPr="00F46CBC" w:rsidRDefault="001F3891" w:rsidP="001D7DAD">
      <w:pPr>
        <w:pStyle w:val="Testonotaapidipagina"/>
        <w:rPr>
          <w:rFonts w:ascii="Bookman Old Style" w:hAnsi="Bookman Old Style"/>
        </w:rPr>
      </w:pPr>
    </w:p>
  </w:footnote>
  <w:footnote w:id="2">
    <w:p w14:paraId="18EE70F0" w14:textId="37F108D4" w:rsidR="00923EEE" w:rsidRDefault="00923EEE" w:rsidP="002B361D">
      <w:pPr>
        <w:shd w:val="clear" w:color="auto" w:fill="FFFFFF"/>
        <w:spacing w:after="0" w:line="240" w:lineRule="auto"/>
        <w:jc w:val="both"/>
      </w:pPr>
      <w:r w:rsidRPr="00F46CBC">
        <w:rPr>
          <w:rStyle w:val="Rimandonotaapidipagina"/>
          <w:rFonts w:ascii="Bookman Old Style" w:hAnsi="Bookman Old Style"/>
          <w:sz w:val="20"/>
          <w:szCs w:val="20"/>
        </w:rPr>
        <w:footnoteRef/>
      </w:r>
      <w:r w:rsidRPr="00F46CBC">
        <w:rPr>
          <w:rFonts w:ascii="Bookman Old Style" w:hAnsi="Bookman Old Style"/>
          <w:sz w:val="20"/>
          <w:szCs w:val="20"/>
        </w:rPr>
        <w:t xml:space="preserve"> </w:t>
      </w:r>
      <w:r w:rsidR="00DE2D9A" w:rsidRPr="00F46CBC">
        <w:rPr>
          <w:rFonts w:ascii="Bookman Old Style" w:hAnsi="Bookman Old Style"/>
          <w:sz w:val="20"/>
          <w:szCs w:val="20"/>
        </w:rPr>
        <w:t>Art. 3, c</w:t>
      </w:r>
      <w:r w:rsidR="002B361D">
        <w:rPr>
          <w:rFonts w:ascii="Bookman Old Style" w:hAnsi="Bookman Old Style"/>
          <w:sz w:val="20"/>
          <w:szCs w:val="20"/>
        </w:rPr>
        <w:t>omma</w:t>
      </w:r>
      <w:r w:rsidR="00DE2D9A" w:rsidRPr="00F46CBC">
        <w:rPr>
          <w:rFonts w:ascii="Bookman Old Style" w:hAnsi="Bookman Old Style"/>
          <w:sz w:val="20"/>
          <w:szCs w:val="20"/>
        </w:rPr>
        <w:t xml:space="preserve"> 4  legge 118/2022</w:t>
      </w:r>
      <w:r w:rsidR="002B361D">
        <w:rPr>
          <w:rFonts w:ascii="Bookman Old Style" w:hAnsi="Bookman Old Style"/>
          <w:sz w:val="20"/>
          <w:szCs w:val="20"/>
        </w:rPr>
        <w:t>.</w:t>
      </w:r>
      <w:r w:rsidR="000E206D" w:rsidRPr="00F46CBC">
        <w:rPr>
          <w:rFonts w:ascii="Bookman Old Style" w:hAnsi="Bookman Old Style"/>
          <w:sz w:val="20"/>
          <w:szCs w:val="20"/>
          <w:shd w:val="clear" w:color="auto" w:fill="FFFFFF"/>
        </w:rPr>
        <w:t xml:space="preserve">   Il Ministro delle infrastrutture e della mobilità sostenibili trasmette alle Camere, entro il 30 giugno 2024, una relazione concernente lo stato delle procedure selettive al 31 dicembre 2023, evidenziando in particolare l'esito delle procedure concluse e, per quelle non concluse, le ragioni che ne abbiano eventualmente impedito la conclusione. Il medesimo Ministro trasmette altresì alle Camere, entro il 31 dicembre 2024, una relazione finale relativa alla conclusione delle procedure selettive sul territorio nazionale.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056"/>
    <w:multiLevelType w:val="hybridMultilevel"/>
    <w:tmpl w:val="2782F27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22E5186"/>
    <w:multiLevelType w:val="hybridMultilevel"/>
    <w:tmpl w:val="E906378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9DA3BA9"/>
    <w:multiLevelType w:val="hybridMultilevel"/>
    <w:tmpl w:val="D81E89B8"/>
    <w:lvl w:ilvl="0" w:tplc="FA4853D2">
      <w:start w:val="1"/>
      <w:numFmt w:val="bullet"/>
      <w:lvlText w:val="·"/>
      <w:lvlJc w:val="left"/>
      <w:pPr>
        <w:ind w:left="720" w:hanging="360"/>
      </w:pPr>
      <w:rPr>
        <w:rFonts w:ascii="Symbol" w:hAnsi="Symbol" w:hint="default"/>
      </w:rPr>
    </w:lvl>
    <w:lvl w:ilvl="1" w:tplc="14649640">
      <w:start w:val="1"/>
      <w:numFmt w:val="bullet"/>
      <w:lvlText w:val="o"/>
      <w:lvlJc w:val="left"/>
      <w:pPr>
        <w:ind w:left="1440" w:hanging="360"/>
      </w:pPr>
      <w:rPr>
        <w:rFonts w:ascii="Courier New" w:hAnsi="Courier New" w:hint="default"/>
      </w:rPr>
    </w:lvl>
    <w:lvl w:ilvl="2" w:tplc="BC2C9E1A">
      <w:start w:val="1"/>
      <w:numFmt w:val="bullet"/>
      <w:lvlText w:val=""/>
      <w:lvlJc w:val="left"/>
      <w:pPr>
        <w:ind w:left="2160" w:hanging="360"/>
      </w:pPr>
      <w:rPr>
        <w:rFonts w:ascii="Wingdings" w:hAnsi="Wingdings" w:hint="default"/>
      </w:rPr>
    </w:lvl>
    <w:lvl w:ilvl="3" w:tplc="E4DC929E">
      <w:start w:val="1"/>
      <w:numFmt w:val="bullet"/>
      <w:lvlText w:val=""/>
      <w:lvlJc w:val="left"/>
      <w:pPr>
        <w:ind w:left="2880" w:hanging="360"/>
      </w:pPr>
      <w:rPr>
        <w:rFonts w:ascii="Symbol" w:hAnsi="Symbol" w:hint="default"/>
      </w:rPr>
    </w:lvl>
    <w:lvl w:ilvl="4" w:tplc="3ACE3C46">
      <w:start w:val="1"/>
      <w:numFmt w:val="bullet"/>
      <w:lvlText w:val="o"/>
      <w:lvlJc w:val="left"/>
      <w:pPr>
        <w:ind w:left="3600" w:hanging="360"/>
      </w:pPr>
      <w:rPr>
        <w:rFonts w:ascii="Courier New" w:hAnsi="Courier New" w:hint="default"/>
      </w:rPr>
    </w:lvl>
    <w:lvl w:ilvl="5" w:tplc="9EEC3A28">
      <w:start w:val="1"/>
      <w:numFmt w:val="bullet"/>
      <w:lvlText w:val=""/>
      <w:lvlJc w:val="left"/>
      <w:pPr>
        <w:ind w:left="4320" w:hanging="360"/>
      </w:pPr>
      <w:rPr>
        <w:rFonts w:ascii="Wingdings" w:hAnsi="Wingdings" w:hint="default"/>
      </w:rPr>
    </w:lvl>
    <w:lvl w:ilvl="6" w:tplc="891EE34E">
      <w:start w:val="1"/>
      <w:numFmt w:val="bullet"/>
      <w:lvlText w:val=""/>
      <w:lvlJc w:val="left"/>
      <w:pPr>
        <w:ind w:left="5040" w:hanging="360"/>
      </w:pPr>
      <w:rPr>
        <w:rFonts w:ascii="Symbol" w:hAnsi="Symbol" w:hint="default"/>
      </w:rPr>
    </w:lvl>
    <w:lvl w:ilvl="7" w:tplc="D254835A">
      <w:start w:val="1"/>
      <w:numFmt w:val="bullet"/>
      <w:lvlText w:val="o"/>
      <w:lvlJc w:val="left"/>
      <w:pPr>
        <w:ind w:left="5760" w:hanging="360"/>
      </w:pPr>
      <w:rPr>
        <w:rFonts w:ascii="Courier New" w:hAnsi="Courier New" w:hint="default"/>
      </w:rPr>
    </w:lvl>
    <w:lvl w:ilvl="8" w:tplc="9C46B446">
      <w:start w:val="1"/>
      <w:numFmt w:val="bullet"/>
      <w:lvlText w:val=""/>
      <w:lvlJc w:val="left"/>
      <w:pPr>
        <w:ind w:left="6480" w:hanging="360"/>
      </w:pPr>
      <w:rPr>
        <w:rFonts w:ascii="Wingdings" w:hAnsi="Wingdings" w:hint="default"/>
      </w:rPr>
    </w:lvl>
  </w:abstractNum>
  <w:abstractNum w:abstractNumId="3" w15:restartNumberingAfterBreak="0">
    <w:nsid w:val="1D3E0A5B"/>
    <w:multiLevelType w:val="hybridMultilevel"/>
    <w:tmpl w:val="5F9C4C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A0079F0"/>
    <w:multiLevelType w:val="hybridMultilevel"/>
    <w:tmpl w:val="CB8656B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1765D6"/>
    <w:multiLevelType w:val="hybridMultilevel"/>
    <w:tmpl w:val="7772AF2A"/>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36A815F5"/>
    <w:multiLevelType w:val="hybridMultilevel"/>
    <w:tmpl w:val="A69C413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9EB3C7E"/>
    <w:multiLevelType w:val="hybridMultilevel"/>
    <w:tmpl w:val="4658141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AAB431E"/>
    <w:multiLevelType w:val="hybridMultilevel"/>
    <w:tmpl w:val="05AE4B18"/>
    <w:lvl w:ilvl="0" w:tplc="396E8EBA">
      <w:start w:val="1"/>
      <w:numFmt w:val="bullet"/>
      <w:lvlText w:val="·"/>
      <w:lvlJc w:val="left"/>
      <w:pPr>
        <w:ind w:left="720" w:hanging="360"/>
      </w:pPr>
      <w:rPr>
        <w:rFonts w:ascii="Symbol" w:hAnsi="Symbol" w:hint="default"/>
      </w:rPr>
    </w:lvl>
    <w:lvl w:ilvl="1" w:tplc="F2FA0A6C">
      <w:start w:val="1"/>
      <w:numFmt w:val="bullet"/>
      <w:lvlText w:val="o"/>
      <w:lvlJc w:val="left"/>
      <w:pPr>
        <w:ind w:left="1440" w:hanging="360"/>
      </w:pPr>
      <w:rPr>
        <w:rFonts w:ascii="Courier New" w:hAnsi="Courier New" w:hint="default"/>
      </w:rPr>
    </w:lvl>
    <w:lvl w:ilvl="2" w:tplc="2298A4D6">
      <w:start w:val="1"/>
      <w:numFmt w:val="bullet"/>
      <w:lvlText w:val=""/>
      <w:lvlJc w:val="left"/>
      <w:pPr>
        <w:ind w:left="2160" w:hanging="360"/>
      </w:pPr>
      <w:rPr>
        <w:rFonts w:ascii="Wingdings" w:hAnsi="Wingdings" w:hint="default"/>
      </w:rPr>
    </w:lvl>
    <w:lvl w:ilvl="3" w:tplc="1EB2E818">
      <w:start w:val="1"/>
      <w:numFmt w:val="bullet"/>
      <w:lvlText w:val=""/>
      <w:lvlJc w:val="left"/>
      <w:pPr>
        <w:ind w:left="2880" w:hanging="360"/>
      </w:pPr>
      <w:rPr>
        <w:rFonts w:ascii="Symbol" w:hAnsi="Symbol" w:hint="default"/>
      </w:rPr>
    </w:lvl>
    <w:lvl w:ilvl="4" w:tplc="7BC84EF2">
      <w:start w:val="1"/>
      <w:numFmt w:val="bullet"/>
      <w:lvlText w:val="o"/>
      <w:lvlJc w:val="left"/>
      <w:pPr>
        <w:ind w:left="3600" w:hanging="360"/>
      </w:pPr>
      <w:rPr>
        <w:rFonts w:ascii="Courier New" w:hAnsi="Courier New" w:hint="default"/>
      </w:rPr>
    </w:lvl>
    <w:lvl w:ilvl="5" w:tplc="F8A0B9B2">
      <w:start w:val="1"/>
      <w:numFmt w:val="bullet"/>
      <w:lvlText w:val=""/>
      <w:lvlJc w:val="left"/>
      <w:pPr>
        <w:ind w:left="4320" w:hanging="360"/>
      </w:pPr>
      <w:rPr>
        <w:rFonts w:ascii="Wingdings" w:hAnsi="Wingdings" w:hint="default"/>
      </w:rPr>
    </w:lvl>
    <w:lvl w:ilvl="6" w:tplc="61883BE6">
      <w:start w:val="1"/>
      <w:numFmt w:val="bullet"/>
      <w:lvlText w:val=""/>
      <w:lvlJc w:val="left"/>
      <w:pPr>
        <w:ind w:left="5040" w:hanging="360"/>
      </w:pPr>
      <w:rPr>
        <w:rFonts w:ascii="Symbol" w:hAnsi="Symbol" w:hint="default"/>
      </w:rPr>
    </w:lvl>
    <w:lvl w:ilvl="7" w:tplc="5188290E">
      <w:start w:val="1"/>
      <w:numFmt w:val="bullet"/>
      <w:lvlText w:val="o"/>
      <w:lvlJc w:val="left"/>
      <w:pPr>
        <w:ind w:left="5760" w:hanging="360"/>
      </w:pPr>
      <w:rPr>
        <w:rFonts w:ascii="Courier New" w:hAnsi="Courier New" w:hint="default"/>
      </w:rPr>
    </w:lvl>
    <w:lvl w:ilvl="8" w:tplc="47B427F6">
      <w:start w:val="1"/>
      <w:numFmt w:val="bullet"/>
      <w:lvlText w:val=""/>
      <w:lvlJc w:val="left"/>
      <w:pPr>
        <w:ind w:left="6480" w:hanging="360"/>
      </w:pPr>
      <w:rPr>
        <w:rFonts w:ascii="Wingdings" w:hAnsi="Wingdings" w:hint="default"/>
      </w:rPr>
    </w:lvl>
  </w:abstractNum>
  <w:abstractNum w:abstractNumId="9" w15:restartNumberingAfterBreak="0">
    <w:nsid w:val="47A2633F"/>
    <w:multiLevelType w:val="hybridMultilevel"/>
    <w:tmpl w:val="60ECC1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4F50054A"/>
    <w:multiLevelType w:val="hybridMultilevel"/>
    <w:tmpl w:val="4D50664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49B7627"/>
    <w:multiLevelType w:val="hybridMultilevel"/>
    <w:tmpl w:val="F8A6AA1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FA46504"/>
    <w:multiLevelType w:val="hybridMultilevel"/>
    <w:tmpl w:val="BF3E2364"/>
    <w:lvl w:ilvl="0" w:tplc="006A3710">
      <w:start w:val="1"/>
      <w:numFmt w:val="bullet"/>
      <w:lvlText w:val="·"/>
      <w:lvlJc w:val="left"/>
      <w:pPr>
        <w:ind w:left="720" w:hanging="360"/>
      </w:pPr>
      <w:rPr>
        <w:rFonts w:ascii="Symbol" w:hAnsi="Symbol" w:hint="default"/>
      </w:rPr>
    </w:lvl>
    <w:lvl w:ilvl="1" w:tplc="E76CC32C">
      <w:start w:val="1"/>
      <w:numFmt w:val="bullet"/>
      <w:lvlText w:val="o"/>
      <w:lvlJc w:val="left"/>
      <w:pPr>
        <w:ind w:left="1440" w:hanging="360"/>
      </w:pPr>
      <w:rPr>
        <w:rFonts w:ascii="Courier New" w:hAnsi="Courier New" w:hint="default"/>
      </w:rPr>
    </w:lvl>
    <w:lvl w:ilvl="2" w:tplc="14A0C694">
      <w:start w:val="1"/>
      <w:numFmt w:val="bullet"/>
      <w:lvlText w:val=""/>
      <w:lvlJc w:val="left"/>
      <w:pPr>
        <w:ind w:left="2160" w:hanging="360"/>
      </w:pPr>
      <w:rPr>
        <w:rFonts w:ascii="Wingdings" w:hAnsi="Wingdings" w:hint="default"/>
      </w:rPr>
    </w:lvl>
    <w:lvl w:ilvl="3" w:tplc="AFDAB9DE">
      <w:start w:val="1"/>
      <w:numFmt w:val="bullet"/>
      <w:lvlText w:val=""/>
      <w:lvlJc w:val="left"/>
      <w:pPr>
        <w:ind w:left="2880" w:hanging="360"/>
      </w:pPr>
      <w:rPr>
        <w:rFonts w:ascii="Symbol" w:hAnsi="Symbol" w:hint="default"/>
      </w:rPr>
    </w:lvl>
    <w:lvl w:ilvl="4" w:tplc="28827566">
      <w:start w:val="1"/>
      <w:numFmt w:val="bullet"/>
      <w:lvlText w:val="o"/>
      <w:lvlJc w:val="left"/>
      <w:pPr>
        <w:ind w:left="3600" w:hanging="360"/>
      </w:pPr>
      <w:rPr>
        <w:rFonts w:ascii="Courier New" w:hAnsi="Courier New" w:hint="default"/>
      </w:rPr>
    </w:lvl>
    <w:lvl w:ilvl="5" w:tplc="2A7EAED4">
      <w:start w:val="1"/>
      <w:numFmt w:val="bullet"/>
      <w:lvlText w:val=""/>
      <w:lvlJc w:val="left"/>
      <w:pPr>
        <w:ind w:left="4320" w:hanging="360"/>
      </w:pPr>
      <w:rPr>
        <w:rFonts w:ascii="Wingdings" w:hAnsi="Wingdings" w:hint="default"/>
      </w:rPr>
    </w:lvl>
    <w:lvl w:ilvl="6" w:tplc="938CFBBA">
      <w:start w:val="1"/>
      <w:numFmt w:val="bullet"/>
      <w:lvlText w:val=""/>
      <w:lvlJc w:val="left"/>
      <w:pPr>
        <w:ind w:left="5040" w:hanging="360"/>
      </w:pPr>
      <w:rPr>
        <w:rFonts w:ascii="Symbol" w:hAnsi="Symbol" w:hint="default"/>
      </w:rPr>
    </w:lvl>
    <w:lvl w:ilvl="7" w:tplc="957E827C">
      <w:start w:val="1"/>
      <w:numFmt w:val="bullet"/>
      <w:lvlText w:val="o"/>
      <w:lvlJc w:val="left"/>
      <w:pPr>
        <w:ind w:left="5760" w:hanging="360"/>
      </w:pPr>
      <w:rPr>
        <w:rFonts w:ascii="Courier New" w:hAnsi="Courier New" w:hint="default"/>
      </w:rPr>
    </w:lvl>
    <w:lvl w:ilvl="8" w:tplc="416C366E">
      <w:start w:val="1"/>
      <w:numFmt w:val="bullet"/>
      <w:lvlText w:val=""/>
      <w:lvlJc w:val="left"/>
      <w:pPr>
        <w:ind w:left="6480" w:hanging="360"/>
      </w:pPr>
      <w:rPr>
        <w:rFonts w:ascii="Wingdings" w:hAnsi="Wingdings" w:hint="default"/>
      </w:rPr>
    </w:lvl>
  </w:abstractNum>
  <w:abstractNum w:abstractNumId="13" w15:restartNumberingAfterBreak="0">
    <w:nsid w:val="7100AE01"/>
    <w:multiLevelType w:val="hybridMultilevel"/>
    <w:tmpl w:val="70BE913A"/>
    <w:lvl w:ilvl="0" w:tplc="D7AEDA28">
      <w:start w:val="1"/>
      <w:numFmt w:val="bullet"/>
      <w:lvlText w:val=""/>
      <w:lvlJc w:val="left"/>
      <w:pPr>
        <w:ind w:left="720" w:hanging="360"/>
      </w:pPr>
      <w:rPr>
        <w:rFonts w:ascii="Symbol" w:hAnsi="Symbol" w:hint="default"/>
      </w:rPr>
    </w:lvl>
    <w:lvl w:ilvl="1" w:tplc="DA929CE2">
      <w:start w:val="1"/>
      <w:numFmt w:val="bullet"/>
      <w:lvlText w:val="o"/>
      <w:lvlJc w:val="left"/>
      <w:pPr>
        <w:ind w:left="1440" w:hanging="360"/>
      </w:pPr>
      <w:rPr>
        <w:rFonts w:ascii="Courier New" w:hAnsi="Courier New" w:hint="default"/>
      </w:rPr>
    </w:lvl>
    <w:lvl w:ilvl="2" w:tplc="301C30A4">
      <w:start w:val="1"/>
      <w:numFmt w:val="bullet"/>
      <w:lvlText w:val=""/>
      <w:lvlJc w:val="left"/>
      <w:pPr>
        <w:ind w:left="2160" w:hanging="360"/>
      </w:pPr>
      <w:rPr>
        <w:rFonts w:ascii="Wingdings" w:hAnsi="Wingdings" w:hint="default"/>
      </w:rPr>
    </w:lvl>
    <w:lvl w:ilvl="3" w:tplc="83F02AA6">
      <w:start w:val="1"/>
      <w:numFmt w:val="bullet"/>
      <w:lvlText w:val=""/>
      <w:lvlJc w:val="left"/>
      <w:pPr>
        <w:ind w:left="2880" w:hanging="360"/>
      </w:pPr>
      <w:rPr>
        <w:rFonts w:ascii="Symbol" w:hAnsi="Symbol" w:hint="default"/>
      </w:rPr>
    </w:lvl>
    <w:lvl w:ilvl="4" w:tplc="A32E9058">
      <w:start w:val="1"/>
      <w:numFmt w:val="bullet"/>
      <w:lvlText w:val="o"/>
      <w:lvlJc w:val="left"/>
      <w:pPr>
        <w:ind w:left="3600" w:hanging="360"/>
      </w:pPr>
      <w:rPr>
        <w:rFonts w:ascii="Courier New" w:hAnsi="Courier New" w:hint="default"/>
      </w:rPr>
    </w:lvl>
    <w:lvl w:ilvl="5" w:tplc="EC26FC7E">
      <w:start w:val="1"/>
      <w:numFmt w:val="bullet"/>
      <w:lvlText w:val=""/>
      <w:lvlJc w:val="left"/>
      <w:pPr>
        <w:ind w:left="4320" w:hanging="360"/>
      </w:pPr>
      <w:rPr>
        <w:rFonts w:ascii="Wingdings" w:hAnsi="Wingdings" w:hint="default"/>
      </w:rPr>
    </w:lvl>
    <w:lvl w:ilvl="6" w:tplc="F2ECD5F4">
      <w:start w:val="1"/>
      <w:numFmt w:val="bullet"/>
      <w:lvlText w:val=""/>
      <w:lvlJc w:val="left"/>
      <w:pPr>
        <w:ind w:left="5040" w:hanging="360"/>
      </w:pPr>
      <w:rPr>
        <w:rFonts w:ascii="Symbol" w:hAnsi="Symbol" w:hint="default"/>
      </w:rPr>
    </w:lvl>
    <w:lvl w:ilvl="7" w:tplc="9B98BFD4">
      <w:start w:val="1"/>
      <w:numFmt w:val="bullet"/>
      <w:lvlText w:val="o"/>
      <w:lvlJc w:val="left"/>
      <w:pPr>
        <w:ind w:left="5760" w:hanging="360"/>
      </w:pPr>
      <w:rPr>
        <w:rFonts w:ascii="Courier New" w:hAnsi="Courier New" w:hint="default"/>
      </w:rPr>
    </w:lvl>
    <w:lvl w:ilvl="8" w:tplc="E2D6EAE4">
      <w:start w:val="1"/>
      <w:numFmt w:val="bullet"/>
      <w:lvlText w:val=""/>
      <w:lvlJc w:val="left"/>
      <w:pPr>
        <w:ind w:left="6480" w:hanging="360"/>
      </w:pPr>
      <w:rPr>
        <w:rFonts w:ascii="Wingdings" w:hAnsi="Wingdings" w:hint="default"/>
      </w:rPr>
    </w:lvl>
  </w:abstractNum>
  <w:num w:numId="1" w16cid:durableId="2089305662">
    <w:abstractNumId w:val="2"/>
  </w:num>
  <w:num w:numId="2" w16cid:durableId="405802754">
    <w:abstractNumId w:val="8"/>
  </w:num>
  <w:num w:numId="3" w16cid:durableId="647630840">
    <w:abstractNumId w:val="12"/>
  </w:num>
  <w:num w:numId="4" w16cid:durableId="795684075">
    <w:abstractNumId w:val="13"/>
  </w:num>
  <w:num w:numId="5" w16cid:durableId="600333805">
    <w:abstractNumId w:val="4"/>
  </w:num>
  <w:num w:numId="6" w16cid:durableId="1256330672">
    <w:abstractNumId w:val="6"/>
  </w:num>
  <w:num w:numId="7" w16cid:durableId="1007320536">
    <w:abstractNumId w:val="5"/>
  </w:num>
  <w:num w:numId="8" w16cid:durableId="300035349">
    <w:abstractNumId w:val="1"/>
  </w:num>
  <w:num w:numId="9" w16cid:durableId="983046485">
    <w:abstractNumId w:val="11"/>
  </w:num>
  <w:num w:numId="10" w16cid:durableId="858083813">
    <w:abstractNumId w:val="0"/>
  </w:num>
  <w:num w:numId="11" w16cid:durableId="1009255285">
    <w:abstractNumId w:val="10"/>
  </w:num>
  <w:num w:numId="12" w16cid:durableId="2095658980">
    <w:abstractNumId w:val="3"/>
  </w:num>
  <w:num w:numId="13" w16cid:durableId="71054254">
    <w:abstractNumId w:val="9"/>
  </w:num>
  <w:num w:numId="14" w16cid:durableId="21457288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627"/>
    <w:rsid w:val="00006189"/>
    <w:rsid w:val="00007965"/>
    <w:rsid w:val="00016AE4"/>
    <w:rsid w:val="0001748D"/>
    <w:rsid w:val="00017C73"/>
    <w:rsid w:val="000204AD"/>
    <w:rsid w:val="000212AB"/>
    <w:rsid w:val="00025B1A"/>
    <w:rsid w:val="00026843"/>
    <w:rsid w:val="00027C64"/>
    <w:rsid w:val="000329B4"/>
    <w:rsid w:val="00032FCB"/>
    <w:rsid w:val="00040995"/>
    <w:rsid w:val="000433B8"/>
    <w:rsid w:val="0005045D"/>
    <w:rsid w:val="000537FE"/>
    <w:rsid w:val="0006115E"/>
    <w:rsid w:val="00061431"/>
    <w:rsid w:val="00064B4C"/>
    <w:rsid w:val="000660A2"/>
    <w:rsid w:val="0006727F"/>
    <w:rsid w:val="00072501"/>
    <w:rsid w:val="0008021B"/>
    <w:rsid w:val="00081089"/>
    <w:rsid w:val="00084916"/>
    <w:rsid w:val="000853DD"/>
    <w:rsid w:val="0008575C"/>
    <w:rsid w:val="00086041"/>
    <w:rsid w:val="000933AA"/>
    <w:rsid w:val="00097084"/>
    <w:rsid w:val="000A39E9"/>
    <w:rsid w:val="000A4DEB"/>
    <w:rsid w:val="000A6AC3"/>
    <w:rsid w:val="000B0195"/>
    <w:rsid w:val="000B68EE"/>
    <w:rsid w:val="000C0BF0"/>
    <w:rsid w:val="000C1613"/>
    <w:rsid w:val="000D0BBB"/>
    <w:rsid w:val="000D15FD"/>
    <w:rsid w:val="000D1ACF"/>
    <w:rsid w:val="000D66CD"/>
    <w:rsid w:val="000E1CD2"/>
    <w:rsid w:val="000E206D"/>
    <w:rsid w:val="000E7AC5"/>
    <w:rsid w:val="000F5880"/>
    <w:rsid w:val="00102402"/>
    <w:rsid w:val="0010470E"/>
    <w:rsid w:val="00105F7C"/>
    <w:rsid w:val="00116DD4"/>
    <w:rsid w:val="00117B4D"/>
    <w:rsid w:val="001236B9"/>
    <w:rsid w:val="00124DD1"/>
    <w:rsid w:val="00143FD7"/>
    <w:rsid w:val="0015277A"/>
    <w:rsid w:val="001668B7"/>
    <w:rsid w:val="00167C99"/>
    <w:rsid w:val="00171552"/>
    <w:rsid w:val="0017578C"/>
    <w:rsid w:val="0018266D"/>
    <w:rsid w:val="001841D7"/>
    <w:rsid w:val="0018421A"/>
    <w:rsid w:val="0018444F"/>
    <w:rsid w:val="00191A87"/>
    <w:rsid w:val="001921FA"/>
    <w:rsid w:val="001929DD"/>
    <w:rsid w:val="001959D9"/>
    <w:rsid w:val="0019645B"/>
    <w:rsid w:val="001A0F77"/>
    <w:rsid w:val="001A604A"/>
    <w:rsid w:val="001B1444"/>
    <w:rsid w:val="001B6030"/>
    <w:rsid w:val="001D0C7C"/>
    <w:rsid w:val="001D7DAD"/>
    <w:rsid w:val="001E6448"/>
    <w:rsid w:val="001E7284"/>
    <w:rsid w:val="001F3352"/>
    <w:rsid w:val="001F3891"/>
    <w:rsid w:val="001F7BE5"/>
    <w:rsid w:val="0021273B"/>
    <w:rsid w:val="00212A8D"/>
    <w:rsid w:val="002158E8"/>
    <w:rsid w:val="0022399B"/>
    <w:rsid w:val="0022454E"/>
    <w:rsid w:val="00227416"/>
    <w:rsid w:val="00236CA4"/>
    <w:rsid w:val="00246C5B"/>
    <w:rsid w:val="00251D52"/>
    <w:rsid w:val="002556BC"/>
    <w:rsid w:val="00256278"/>
    <w:rsid w:val="002600CB"/>
    <w:rsid w:val="00263FF9"/>
    <w:rsid w:val="002736BC"/>
    <w:rsid w:val="002838BD"/>
    <w:rsid w:val="00286747"/>
    <w:rsid w:val="00290450"/>
    <w:rsid w:val="0029151F"/>
    <w:rsid w:val="00293EA9"/>
    <w:rsid w:val="002A46DD"/>
    <w:rsid w:val="002A78F0"/>
    <w:rsid w:val="002B361D"/>
    <w:rsid w:val="002C4F0C"/>
    <w:rsid w:val="002D1237"/>
    <w:rsid w:val="002D5897"/>
    <w:rsid w:val="002D67A2"/>
    <w:rsid w:val="002E1866"/>
    <w:rsid w:val="002E3009"/>
    <w:rsid w:val="002E4E12"/>
    <w:rsid w:val="002E522B"/>
    <w:rsid w:val="002F499B"/>
    <w:rsid w:val="002F606A"/>
    <w:rsid w:val="0030166D"/>
    <w:rsid w:val="00312E85"/>
    <w:rsid w:val="00314F46"/>
    <w:rsid w:val="00323C69"/>
    <w:rsid w:val="00324CC4"/>
    <w:rsid w:val="003313DA"/>
    <w:rsid w:val="00334700"/>
    <w:rsid w:val="00342260"/>
    <w:rsid w:val="003450D5"/>
    <w:rsid w:val="00346844"/>
    <w:rsid w:val="003604A1"/>
    <w:rsid w:val="00371178"/>
    <w:rsid w:val="00380205"/>
    <w:rsid w:val="003810D5"/>
    <w:rsid w:val="00383880"/>
    <w:rsid w:val="00385E9C"/>
    <w:rsid w:val="00390C11"/>
    <w:rsid w:val="003A21DD"/>
    <w:rsid w:val="003B15B8"/>
    <w:rsid w:val="003B4119"/>
    <w:rsid w:val="003B6234"/>
    <w:rsid w:val="003B66EF"/>
    <w:rsid w:val="003B75FB"/>
    <w:rsid w:val="003B7632"/>
    <w:rsid w:val="003C410C"/>
    <w:rsid w:val="003D344D"/>
    <w:rsid w:val="003D5C90"/>
    <w:rsid w:val="003D7E4C"/>
    <w:rsid w:val="003E3124"/>
    <w:rsid w:val="003F7FD1"/>
    <w:rsid w:val="004020E9"/>
    <w:rsid w:val="0040548C"/>
    <w:rsid w:val="004100BF"/>
    <w:rsid w:val="00424B68"/>
    <w:rsid w:val="00426A17"/>
    <w:rsid w:val="00427CF8"/>
    <w:rsid w:val="004319B4"/>
    <w:rsid w:val="00432EDD"/>
    <w:rsid w:val="004365D5"/>
    <w:rsid w:val="00436AA8"/>
    <w:rsid w:val="004422F7"/>
    <w:rsid w:val="0044250F"/>
    <w:rsid w:val="0044712A"/>
    <w:rsid w:val="0045384B"/>
    <w:rsid w:val="00467302"/>
    <w:rsid w:val="00470462"/>
    <w:rsid w:val="00474322"/>
    <w:rsid w:val="004758A5"/>
    <w:rsid w:val="00480081"/>
    <w:rsid w:val="0048149B"/>
    <w:rsid w:val="004929A2"/>
    <w:rsid w:val="0049740E"/>
    <w:rsid w:val="004A6884"/>
    <w:rsid w:val="004B18FA"/>
    <w:rsid w:val="004B6F1A"/>
    <w:rsid w:val="004B7B58"/>
    <w:rsid w:val="004C041D"/>
    <w:rsid w:val="004C5A77"/>
    <w:rsid w:val="004D4D26"/>
    <w:rsid w:val="004D53ED"/>
    <w:rsid w:val="004E105A"/>
    <w:rsid w:val="004E151F"/>
    <w:rsid w:val="004E75F1"/>
    <w:rsid w:val="004F098D"/>
    <w:rsid w:val="00503EF3"/>
    <w:rsid w:val="00510F00"/>
    <w:rsid w:val="00525750"/>
    <w:rsid w:val="00527885"/>
    <w:rsid w:val="005309D8"/>
    <w:rsid w:val="00531DD3"/>
    <w:rsid w:val="00532262"/>
    <w:rsid w:val="00532B1B"/>
    <w:rsid w:val="005358AB"/>
    <w:rsid w:val="00540ADA"/>
    <w:rsid w:val="005424D0"/>
    <w:rsid w:val="00542859"/>
    <w:rsid w:val="00544A62"/>
    <w:rsid w:val="0055080C"/>
    <w:rsid w:val="005524D0"/>
    <w:rsid w:val="00555C04"/>
    <w:rsid w:val="00564B63"/>
    <w:rsid w:val="00566363"/>
    <w:rsid w:val="0056748D"/>
    <w:rsid w:val="00570431"/>
    <w:rsid w:val="005721E2"/>
    <w:rsid w:val="0057353C"/>
    <w:rsid w:val="00573D84"/>
    <w:rsid w:val="005753F8"/>
    <w:rsid w:val="00576DE1"/>
    <w:rsid w:val="00581FC4"/>
    <w:rsid w:val="00590B9A"/>
    <w:rsid w:val="00590E29"/>
    <w:rsid w:val="00591AE5"/>
    <w:rsid w:val="00595411"/>
    <w:rsid w:val="005A33AF"/>
    <w:rsid w:val="005A362B"/>
    <w:rsid w:val="005A79BA"/>
    <w:rsid w:val="005C31BD"/>
    <w:rsid w:val="005C46C5"/>
    <w:rsid w:val="005C4BAC"/>
    <w:rsid w:val="005C6C18"/>
    <w:rsid w:val="005C7E02"/>
    <w:rsid w:val="005D559F"/>
    <w:rsid w:val="005D72FB"/>
    <w:rsid w:val="005E0175"/>
    <w:rsid w:val="005E07F1"/>
    <w:rsid w:val="005E0B26"/>
    <w:rsid w:val="005E66BC"/>
    <w:rsid w:val="005E6739"/>
    <w:rsid w:val="005F177F"/>
    <w:rsid w:val="005F215D"/>
    <w:rsid w:val="005F4164"/>
    <w:rsid w:val="00600DAA"/>
    <w:rsid w:val="006130C3"/>
    <w:rsid w:val="0062094F"/>
    <w:rsid w:val="00624ABF"/>
    <w:rsid w:val="00636197"/>
    <w:rsid w:val="006449FB"/>
    <w:rsid w:val="00645F5B"/>
    <w:rsid w:val="006461BD"/>
    <w:rsid w:val="006463D7"/>
    <w:rsid w:val="00647659"/>
    <w:rsid w:val="00647EC3"/>
    <w:rsid w:val="00662133"/>
    <w:rsid w:val="006743C7"/>
    <w:rsid w:val="00677087"/>
    <w:rsid w:val="0068002F"/>
    <w:rsid w:val="00680294"/>
    <w:rsid w:val="00687A52"/>
    <w:rsid w:val="00694C22"/>
    <w:rsid w:val="00696CE8"/>
    <w:rsid w:val="00696FB7"/>
    <w:rsid w:val="006A4CD3"/>
    <w:rsid w:val="006A4DFE"/>
    <w:rsid w:val="006A5169"/>
    <w:rsid w:val="006B4CCA"/>
    <w:rsid w:val="006C1F5B"/>
    <w:rsid w:val="006D1713"/>
    <w:rsid w:val="006D389F"/>
    <w:rsid w:val="006D5205"/>
    <w:rsid w:val="006D5403"/>
    <w:rsid w:val="006E2E16"/>
    <w:rsid w:val="006E73D6"/>
    <w:rsid w:val="006E7D4D"/>
    <w:rsid w:val="006F3F6A"/>
    <w:rsid w:val="00705183"/>
    <w:rsid w:val="00712B2B"/>
    <w:rsid w:val="00713557"/>
    <w:rsid w:val="00714A38"/>
    <w:rsid w:val="007160EA"/>
    <w:rsid w:val="00725978"/>
    <w:rsid w:val="00725A83"/>
    <w:rsid w:val="00725E25"/>
    <w:rsid w:val="00726356"/>
    <w:rsid w:val="007264A7"/>
    <w:rsid w:val="00730BD2"/>
    <w:rsid w:val="0074005B"/>
    <w:rsid w:val="00750A09"/>
    <w:rsid w:val="00751E89"/>
    <w:rsid w:val="00754E05"/>
    <w:rsid w:val="00760B98"/>
    <w:rsid w:val="00767FC8"/>
    <w:rsid w:val="00772296"/>
    <w:rsid w:val="00784679"/>
    <w:rsid w:val="007908D3"/>
    <w:rsid w:val="007922B9"/>
    <w:rsid w:val="007A0270"/>
    <w:rsid w:val="007A074A"/>
    <w:rsid w:val="007B3627"/>
    <w:rsid w:val="007C16D2"/>
    <w:rsid w:val="007C1D9F"/>
    <w:rsid w:val="007C3808"/>
    <w:rsid w:val="007E55E0"/>
    <w:rsid w:val="007E7F14"/>
    <w:rsid w:val="0082011B"/>
    <w:rsid w:val="008216C6"/>
    <w:rsid w:val="008217A4"/>
    <w:rsid w:val="00822C71"/>
    <w:rsid w:val="00823C85"/>
    <w:rsid w:val="008306BE"/>
    <w:rsid w:val="0083187D"/>
    <w:rsid w:val="008341AF"/>
    <w:rsid w:val="0083463B"/>
    <w:rsid w:val="00835259"/>
    <w:rsid w:val="00837CD9"/>
    <w:rsid w:val="00840558"/>
    <w:rsid w:val="00840C34"/>
    <w:rsid w:val="00845A4A"/>
    <w:rsid w:val="00846818"/>
    <w:rsid w:val="0085069D"/>
    <w:rsid w:val="00855C09"/>
    <w:rsid w:val="008561F9"/>
    <w:rsid w:val="0086063A"/>
    <w:rsid w:val="0086493F"/>
    <w:rsid w:val="00872585"/>
    <w:rsid w:val="00876695"/>
    <w:rsid w:val="008917E5"/>
    <w:rsid w:val="00896D37"/>
    <w:rsid w:val="008A0B07"/>
    <w:rsid w:val="008A3119"/>
    <w:rsid w:val="008A4C8E"/>
    <w:rsid w:val="008A5098"/>
    <w:rsid w:val="008A6701"/>
    <w:rsid w:val="008B266C"/>
    <w:rsid w:val="008D066C"/>
    <w:rsid w:val="008E2F11"/>
    <w:rsid w:val="008E40A4"/>
    <w:rsid w:val="008E6E22"/>
    <w:rsid w:val="00900F74"/>
    <w:rsid w:val="00904A1F"/>
    <w:rsid w:val="00904C57"/>
    <w:rsid w:val="00905FA7"/>
    <w:rsid w:val="009155E6"/>
    <w:rsid w:val="009228E0"/>
    <w:rsid w:val="009233A2"/>
    <w:rsid w:val="00923EEE"/>
    <w:rsid w:val="00926545"/>
    <w:rsid w:val="0093175A"/>
    <w:rsid w:val="00934E8C"/>
    <w:rsid w:val="00936822"/>
    <w:rsid w:val="00936899"/>
    <w:rsid w:val="0094479E"/>
    <w:rsid w:val="00951CE6"/>
    <w:rsid w:val="00957014"/>
    <w:rsid w:val="009640C4"/>
    <w:rsid w:val="00966D59"/>
    <w:rsid w:val="00967C54"/>
    <w:rsid w:val="00971DAD"/>
    <w:rsid w:val="00973C50"/>
    <w:rsid w:val="00980581"/>
    <w:rsid w:val="00985A7E"/>
    <w:rsid w:val="009877B4"/>
    <w:rsid w:val="009925B2"/>
    <w:rsid w:val="00993F9B"/>
    <w:rsid w:val="00994C43"/>
    <w:rsid w:val="009A3E24"/>
    <w:rsid w:val="009A4C24"/>
    <w:rsid w:val="009B3411"/>
    <w:rsid w:val="009B5250"/>
    <w:rsid w:val="009B662E"/>
    <w:rsid w:val="009B6B85"/>
    <w:rsid w:val="009B741B"/>
    <w:rsid w:val="009C7B89"/>
    <w:rsid w:val="009D5BB1"/>
    <w:rsid w:val="009D7359"/>
    <w:rsid w:val="009E2B97"/>
    <w:rsid w:val="009E424C"/>
    <w:rsid w:val="009E6601"/>
    <w:rsid w:val="009F5CE1"/>
    <w:rsid w:val="00A00970"/>
    <w:rsid w:val="00A15C6D"/>
    <w:rsid w:val="00A16218"/>
    <w:rsid w:val="00A251F8"/>
    <w:rsid w:val="00A26938"/>
    <w:rsid w:val="00A26AF1"/>
    <w:rsid w:val="00A419B0"/>
    <w:rsid w:val="00A47B16"/>
    <w:rsid w:val="00A62017"/>
    <w:rsid w:val="00A64B68"/>
    <w:rsid w:val="00A71009"/>
    <w:rsid w:val="00A74974"/>
    <w:rsid w:val="00A76896"/>
    <w:rsid w:val="00A82BF4"/>
    <w:rsid w:val="00A88717"/>
    <w:rsid w:val="00A93FFC"/>
    <w:rsid w:val="00AA327C"/>
    <w:rsid w:val="00AA50D8"/>
    <w:rsid w:val="00AB210D"/>
    <w:rsid w:val="00AD0F9A"/>
    <w:rsid w:val="00AD245F"/>
    <w:rsid w:val="00AD3844"/>
    <w:rsid w:val="00AD3DEB"/>
    <w:rsid w:val="00AF1B61"/>
    <w:rsid w:val="00AF4AF5"/>
    <w:rsid w:val="00B0285D"/>
    <w:rsid w:val="00B03102"/>
    <w:rsid w:val="00B079B3"/>
    <w:rsid w:val="00B1249E"/>
    <w:rsid w:val="00B2619C"/>
    <w:rsid w:val="00B47544"/>
    <w:rsid w:val="00B52386"/>
    <w:rsid w:val="00B551CC"/>
    <w:rsid w:val="00B566E5"/>
    <w:rsid w:val="00B609F6"/>
    <w:rsid w:val="00B614D8"/>
    <w:rsid w:val="00B6293D"/>
    <w:rsid w:val="00B62F0F"/>
    <w:rsid w:val="00B73ED0"/>
    <w:rsid w:val="00B76366"/>
    <w:rsid w:val="00B834E5"/>
    <w:rsid w:val="00B92995"/>
    <w:rsid w:val="00B978B2"/>
    <w:rsid w:val="00BA53B1"/>
    <w:rsid w:val="00BB0768"/>
    <w:rsid w:val="00BB342B"/>
    <w:rsid w:val="00BB595D"/>
    <w:rsid w:val="00BC25D4"/>
    <w:rsid w:val="00BC42C6"/>
    <w:rsid w:val="00BD6882"/>
    <w:rsid w:val="00BE3194"/>
    <w:rsid w:val="00BE6194"/>
    <w:rsid w:val="00BE71AB"/>
    <w:rsid w:val="00BF0EEE"/>
    <w:rsid w:val="00C027D7"/>
    <w:rsid w:val="00C02DC1"/>
    <w:rsid w:val="00C038CD"/>
    <w:rsid w:val="00C03C19"/>
    <w:rsid w:val="00C23158"/>
    <w:rsid w:val="00C260CD"/>
    <w:rsid w:val="00C27531"/>
    <w:rsid w:val="00C31000"/>
    <w:rsid w:val="00C31FAA"/>
    <w:rsid w:val="00C3300D"/>
    <w:rsid w:val="00C34B5A"/>
    <w:rsid w:val="00C40AA4"/>
    <w:rsid w:val="00C41D38"/>
    <w:rsid w:val="00C422B8"/>
    <w:rsid w:val="00C47663"/>
    <w:rsid w:val="00C5120E"/>
    <w:rsid w:val="00C55198"/>
    <w:rsid w:val="00C566B8"/>
    <w:rsid w:val="00C6281D"/>
    <w:rsid w:val="00C63688"/>
    <w:rsid w:val="00C676D5"/>
    <w:rsid w:val="00C85386"/>
    <w:rsid w:val="00C86471"/>
    <w:rsid w:val="00C9736A"/>
    <w:rsid w:val="00CA35D3"/>
    <w:rsid w:val="00CA3CC8"/>
    <w:rsid w:val="00CA59BC"/>
    <w:rsid w:val="00CB478C"/>
    <w:rsid w:val="00CB537A"/>
    <w:rsid w:val="00CB6504"/>
    <w:rsid w:val="00CC1C26"/>
    <w:rsid w:val="00CC2344"/>
    <w:rsid w:val="00CC3787"/>
    <w:rsid w:val="00CC3E24"/>
    <w:rsid w:val="00CC6585"/>
    <w:rsid w:val="00CE19F4"/>
    <w:rsid w:val="00CE2851"/>
    <w:rsid w:val="00CE376B"/>
    <w:rsid w:val="00CF7302"/>
    <w:rsid w:val="00CF7ECD"/>
    <w:rsid w:val="00D039FD"/>
    <w:rsid w:val="00D0478F"/>
    <w:rsid w:val="00D05039"/>
    <w:rsid w:val="00D10E5F"/>
    <w:rsid w:val="00D119F2"/>
    <w:rsid w:val="00D12E64"/>
    <w:rsid w:val="00D13CC6"/>
    <w:rsid w:val="00D14DCD"/>
    <w:rsid w:val="00D17B17"/>
    <w:rsid w:val="00D26CA8"/>
    <w:rsid w:val="00D313C4"/>
    <w:rsid w:val="00D31949"/>
    <w:rsid w:val="00D35A00"/>
    <w:rsid w:val="00D36306"/>
    <w:rsid w:val="00D3782A"/>
    <w:rsid w:val="00D4572E"/>
    <w:rsid w:val="00D54CB6"/>
    <w:rsid w:val="00D71519"/>
    <w:rsid w:val="00D72314"/>
    <w:rsid w:val="00D771CD"/>
    <w:rsid w:val="00D81AD6"/>
    <w:rsid w:val="00D84887"/>
    <w:rsid w:val="00D96154"/>
    <w:rsid w:val="00DA6291"/>
    <w:rsid w:val="00DC386A"/>
    <w:rsid w:val="00DC391A"/>
    <w:rsid w:val="00DD127B"/>
    <w:rsid w:val="00DD3268"/>
    <w:rsid w:val="00DE1722"/>
    <w:rsid w:val="00DE2D9A"/>
    <w:rsid w:val="00DE45A5"/>
    <w:rsid w:val="00DE6D43"/>
    <w:rsid w:val="00DF0E95"/>
    <w:rsid w:val="00DF2247"/>
    <w:rsid w:val="00E02337"/>
    <w:rsid w:val="00E05F02"/>
    <w:rsid w:val="00E15E9A"/>
    <w:rsid w:val="00E21168"/>
    <w:rsid w:val="00E23E73"/>
    <w:rsid w:val="00E35F0C"/>
    <w:rsid w:val="00E41FD9"/>
    <w:rsid w:val="00E4291A"/>
    <w:rsid w:val="00E51942"/>
    <w:rsid w:val="00E54DE4"/>
    <w:rsid w:val="00E60A69"/>
    <w:rsid w:val="00E66131"/>
    <w:rsid w:val="00E70ED9"/>
    <w:rsid w:val="00E72E6F"/>
    <w:rsid w:val="00E81F4B"/>
    <w:rsid w:val="00E837D9"/>
    <w:rsid w:val="00E85407"/>
    <w:rsid w:val="00E856E3"/>
    <w:rsid w:val="00E93F1A"/>
    <w:rsid w:val="00E95E7E"/>
    <w:rsid w:val="00E97BB5"/>
    <w:rsid w:val="00EA0747"/>
    <w:rsid w:val="00EA0D1E"/>
    <w:rsid w:val="00EB012B"/>
    <w:rsid w:val="00EB3C35"/>
    <w:rsid w:val="00EB681A"/>
    <w:rsid w:val="00EC7755"/>
    <w:rsid w:val="00EE6679"/>
    <w:rsid w:val="00EF22E5"/>
    <w:rsid w:val="00EF55F6"/>
    <w:rsid w:val="00F009ED"/>
    <w:rsid w:val="00F04570"/>
    <w:rsid w:val="00F101AE"/>
    <w:rsid w:val="00F163BC"/>
    <w:rsid w:val="00F26A1F"/>
    <w:rsid w:val="00F26F18"/>
    <w:rsid w:val="00F36698"/>
    <w:rsid w:val="00F43A01"/>
    <w:rsid w:val="00F46CBC"/>
    <w:rsid w:val="00F51F0B"/>
    <w:rsid w:val="00F622CB"/>
    <w:rsid w:val="00F62351"/>
    <w:rsid w:val="00F649BF"/>
    <w:rsid w:val="00F65D7B"/>
    <w:rsid w:val="00F71B48"/>
    <w:rsid w:val="00F720D4"/>
    <w:rsid w:val="00F720E3"/>
    <w:rsid w:val="00F731A4"/>
    <w:rsid w:val="00F7538A"/>
    <w:rsid w:val="00F80DBC"/>
    <w:rsid w:val="00F81966"/>
    <w:rsid w:val="00F84BED"/>
    <w:rsid w:val="00F85B0E"/>
    <w:rsid w:val="00F90C36"/>
    <w:rsid w:val="00F91D91"/>
    <w:rsid w:val="00F938DB"/>
    <w:rsid w:val="00FA18CE"/>
    <w:rsid w:val="00FB060C"/>
    <w:rsid w:val="00FB76BF"/>
    <w:rsid w:val="00FC0531"/>
    <w:rsid w:val="00FC1330"/>
    <w:rsid w:val="00FC7ED7"/>
    <w:rsid w:val="00FD1E20"/>
    <w:rsid w:val="00FD387F"/>
    <w:rsid w:val="00FD7A7E"/>
    <w:rsid w:val="00FE1130"/>
    <w:rsid w:val="00FF4DF3"/>
    <w:rsid w:val="01A4492B"/>
    <w:rsid w:val="02D6A1D7"/>
    <w:rsid w:val="0318ECF3"/>
    <w:rsid w:val="04727238"/>
    <w:rsid w:val="04A63971"/>
    <w:rsid w:val="05CF2642"/>
    <w:rsid w:val="07F86566"/>
    <w:rsid w:val="0877ACBA"/>
    <w:rsid w:val="089E45B5"/>
    <w:rsid w:val="093CBB36"/>
    <w:rsid w:val="0945E35B"/>
    <w:rsid w:val="0A82794B"/>
    <w:rsid w:val="0AE1B3BC"/>
    <w:rsid w:val="0DDB05C3"/>
    <w:rsid w:val="102D19CC"/>
    <w:rsid w:val="11319D46"/>
    <w:rsid w:val="12062654"/>
    <w:rsid w:val="127D4B16"/>
    <w:rsid w:val="1364EC51"/>
    <w:rsid w:val="13CD229F"/>
    <w:rsid w:val="14B54EB3"/>
    <w:rsid w:val="17ED4062"/>
    <w:rsid w:val="19457A19"/>
    <w:rsid w:val="1A78ECD7"/>
    <w:rsid w:val="1AA24261"/>
    <w:rsid w:val="1B3A4606"/>
    <w:rsid w:val="1D5FE7A8"/>
    <w:rsid w:val="1D84A5FF"/>
    <w:rsid w:val="1DB08D99"/>
    <w:rsid w:val="1E8B5068"/>
    <w:rsid w:val="1F11412C"/>
    <w:rsid w:val="204BF4B3"/>
    <w:rsid w:val="2050C44C"/>
    <w:rsid w:val="20A5E33F"/>
    <w:rsid w:val="219FAD06"/>
    <w:rsid w:val="23005EDE"/>
    <w:rsid w:val="251ECE02"/>
    <w:rsid w:val="26BA9E63"/>
    <w:rsid w:val="275298F7"/>
    <w:rsid w:val="28234A24"/>
    <w:rsid w:val="29225A5F"/>
    <w:rsid w:val="29F0F4ED"/>
    <w:rsid w:val="2A7C8BB2"/>
    <w:rsid w:val="2AE8D987"/>
    <w:rsid w:val="2B5AEAE6"/>
    <w:rsid w:val="300F78B2"/>
    <w:rsid w:val="30301A2D"/>
    <w:rsid w:val="31342DB9"/>
    <w:rsid w:val="3135798F"/>
    <w:rsid w:val="31ADA5F6"/>
    <w:rsid w:val="31B1040D"/>
    <w:rsid w:val="324DCBA1"/>
    <w:rsid w:val="332FF0D4"/>
    <w:rsid w:val="343DE06D"/>
    <w:rsid w:val="34CDF9B0"/>
    <w:rsid w:val="35A38240"/>
    <w:rsid w:val="35D1E6AC"/>
    <w:rsid w:val="36658F80"/>
    <w:rsid w:val="375278E3"/>
    <w:rsid w:val="378F3571"/>
    <w:rsid w:val="3800CFD3"/>
    <w:rsid w:val="386EA0F7"/>
    <w:rsid w:val="3892A919"/>
    <w:rsid w:val="38D20077"/>
    <w:rsid w:val="399CA034"/>
    <w:rsid w:val="39B6CF48"/>
    <w:rsid w:val="39FDB2E2"/>
    <w:rsid w:val="3B1B6AE2"/>
    <w:rsid w:val="3C412830"/>
    <w:rsid w:val="3CD44C2D"/>
    <w:rsid w:val="3DDCF891"/>
    <w:rsid w:val="3E9B2EC0"/>
    <w:rsid w:val="425219E7"/>
    <w:rsid w:val="43BB5A10"/>
    <w:rsid w:val="4489DFCB"/>
    <w:rsid w:val="453F39F4"/>
    <w:rsid w:val="46CFCC03"/>
    <w:rsid w:val="46F19BC7"/>
    <w:rsid w:val="47661DD0"/>
    <w:rsid w:val="47E4A78A"/>
    <w:rsid w:val="48C3EEA1"/>
    <w:rsid w:val="491103F1"/>
    <w:rsid w:val="4B19DC28"/>
    <w:rsid w:val="4B96162F"/>
    <w:rsid w:val="4CF76596"/>
    <w:rsid w:val="4D11C804"/>
    <w:rsid w:val="4D2F3376"/>
    <w:rsid w:val="4D5364F4"/>
    <w:rsid w:val="4DE47514"/>
    <w:rsid w:val="4E963513"/>
    <w:rsid w:val="4F4937BD"/>
    <w:rsid w:val="4F7AFECB"/>
    <w:rsid w:val="520557B3"/>
    <w:rsid w:val="5226D617"/>
    <w:rsid w:val="5306419D"/>
    <w:rsid w:val="530859BB"/>
    <w:rsid w:val="53A12814"/>
    <w:rsid w:val="5589494C"/>
    <w:rsid w:val="55E2A3E7"/>
    <w:rsid w:val="576DC0BA"/>
    <w:rsid w:val="57DF36D3"/>
    <w:rsid w:val="57FA8FA5"/>
    <w:rsid w:val="58749937"/>
    <w:rsid w:val="588546E0"/>
    <w:rsid w:val="599304AE"/>
    <w:rsid w:val="5ABBCFE2"/>
    <w:rsid w:val="5AF82B25"/>
    <w:rsid w:val="5BE9DFAF"/>
    <w:rsid w:val="5D2C9485"/>
    <w:rsid w:val="5D4FF7E0"/>
    <w:rsid w:val="5E7CDC92"/>
    <w:rsid w:val="5EDBB418"/>
    <w:rsid w:val="5EEBC841"/>
    <w:rsid w:val="5FFAF9AF"/>
    <w:rsid w:val="605BC7F2"/>
    <w:rsid w:val="60D19A32"/>
    <w:rsid w:val="60E47DB5"/>
    <w:rsid w:val="620686D5"/>
    <w:rsid w:val="627D033A"/>
    <w:rsid w:val="632D3D78"/>
    <w:rsid w:val="63777D15"/>
    <w:rsid w:val="645AAE5D"/>
    <w:rsid w:val="652F3915"/>
    <w:rsid w:val="655B09C5"/>
    <w:rsid w:val="6796C0F1"/>
    <w:rsid w:val="67E1D9C6"/>
    <w:rsid w:val="680DA5E5"/>
    <w:rsid w:val="68BA4F0E"/>
    <w:rsid w:val="6A3D129F"/>
    <w:rsid w:val="6B7D022D"/>
    <w:rsid w:val="6B7E5CA7"/>
    <w:rsid w:val="6CB20CD6"/>
    <w:rsid w:val="6E4DDD37"/>
    <w:rsid w:val="6EE95A2B"/>
    <w:rsid w:val="6F022D4E"/>
    <w:rsid w:val="714B8B8C"/>
    <w:rsid w:val="718209F5"/>
    <w:rsid w:val="72BFAE31"/>
    <w:rsid w:val="731F9537"/>
    <w:rsid w:val="7466D7D0"/>
    <w:rsid w:val="74F84C83"/>
    <w:rsid w:val="7522B67E"/>
    <w:rsid w:val="75EB1DF8"/>
    <w:rsid w:val="76389819"/>
    <w:rsid w:val="768D2A2B"/>
    <w:rsid w:val="78960BC0"/>
    <w:rsid w:val="78F72AC1"/>
    <w:rsid w:val="7C59C804"/>
    <w:rsid w:val="7CD0D807"/>
    <w:rsid w:val="7D7D88C1"/>
    <w:rsid w:val="7E6CA868"/>
    <w:rsid w:val="7EB07441"/>
    <w:rsid w:val="7F0421E4"/>
    <w:rsid w:val="7F9E67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301E4"/>
  <w15:chartTrackingRefBased/>
  <w15:docId w15:val="{0FCB856B-94BE-41A2-9700-697B586B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5080C"/>
    <w:pPr>
      <w:autoSpaceDE w:val="0"/>
      <w:autoSpaceDN w:val="0"/>
      <w:adjustRightInd w:val="0"/>
      <w:spacing w:after="0" w:line="240" w:lineRule="auto"/>
    </w:pPr>
    <w:rPr>
      <w:rFonts w:ascii="Times LT Std" w:hAnsi="Times LT Std" w:cs="Times LT Std"/>
      <w:color w:val="000000"/>
      <w:sz w:val="24"/>
      <w:szCs w:val="24"/>
    </w:rPr>
  </w:style>
  <w:style w:type="paragraph" w:styleId="Paragrafoelenco">
    <w:name w:val="List Paragraph"/>
    <w:basedOn w:val="Normale"/>
    <w:uiPriority w:val="34"/>
    <w:qFormat/>
    <w:rsid w:val="00BA53B1"/>
    <w:pPr>
      <w:ind w:left="720"/>
      <w:contextualSpacing/>
    </w:pPr>
  </w:style>
  <w:style w:type="paragraph" w:customStyle="1" w:styleId="a6">
    <w:name w:val="a6"/>
    <w:basedOn w:val="Normale"/>
    <w:uiPriority w:val="99"/>
    <w:rsid w:val="009640C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662133"/>
    <w:rPr>
      <w:i/>
      <w:iCs/>
    </w:rPr>
  </w:style>
  <w:style w:type="paragraph" w:styleId="NormaleWeb">
    <w:name w:val="Normal (Web)"/>
    <w:basedOn w:val="Normale"/>
    <w:uiPriority w:val="99"/>
    <w:unhideWhenUsed/>
    <w:rsid w:val="00A251F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5E07F1"/>
    <w:rPr>
      <w:color w:val="0000FF"/>
      <w:u w:val="single"/>
    </w:rPr>
  </w:style>
  <w:style w:type="paragraph" w:customStyle="1" w:styleId="emen">
    <w:name w:val="emen"/>
    <w:basedOn w:val="Normale"/>
    <w:rsid w:val="005E07F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
    <w:name w:val="a"/>
    <w:basedOn w:val="Normale"/>
    <w:rsid w:val="005E07F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msonormal">
    <w:name w:val="x_msonormal"/>
    <w:basedOn w:val="Normale"/>
    <w:rsid w:val="00DE6D43"/>
    <w:pPr>
      <w:spacing w:line="252" w:lineRule="auto"/>
    </w:pPr>
    <w:rPr>
      <w:rFonts w:ascii="Calibri" w:hAnsi="Calibri" w:cs="Calibri"/>
      <w:lang w:eastAsia="it-IT"/>
    </w:rPr>
  </w:style>
  <w:style w:type="paragraph" w:styleId="Revisione">
    <w:name w:val="Revision"/>
    <w:hidden/>
    <w:uiPriority w:val="99"/>
    <w:semiHidden/>
    <w:rsid w:val="007C16D2"/>
    <w:pPr>
      <w:spacing w:after="0" w:line="240" w:lineRule="auto"/>
    </w:pPr>
  </w:style>
  <w:style w:type="paragraph" w:styleId="Nessunaspaziatura">
    <w:name w:val="No Spacing"/>
    <w:uiPriority w:val="1"/>
    <w:qFormat/>
    <w:rsid w:val="00432EDD"/>
    <w:pPr>
      <w:spacing w:after="0" w:line="240" w:lineRule="auto"/>
    </w:pPr>
  </w:style>
  <w:style w:type="character" w:customStyle="1" w:styleId="contentpasted0">
    <w:name w:val="contentpasted0"/>
    <w:basedOn w:val="Carpredefinitoparagrafo"/>
    <w:rsid w:val="00467302"/>
  </w:style>
  <w:style w:type="paragraph" w:styleId="Intestazione">
    <w:name w:val="header"/>
    <w:basedOn w:val="Normale"/>
    <w:link w:val="IntestazioneCarattere"/>
    <w:uiPriority w:val="99"/>
    <w:unhideWhenUsed/>
    <w:rsid w:val="00E95E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95E7E"/>
  </w:style>
  <w:style w:type="paragraph" w:styleId="Pidipagina">
    <w:name w:val="footer"/>
    <w:basedOn w:val="Normale"/>
    <w:link w:val="PidipaginaCarattere"/>
    <w:uiPriority w:val="99"/>
    <w:unhideWhenUsed/>
    <w:rsid w:val="00E95E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95E7E"/>
  </w:style>
  <w:style w:type="paragraph" w:styleId="Testonotaapidipagina">
    <w:name w:val="footnote text"/>
    <w:basedOn w:val="Normale"/>
    <w:link w:val="TestonotaapidipaginaCarattere"/>
    <w:uiPriority w:val="99"/>
    <w:semiHidden/>
    <w:unhideWhenUsed/>
    <w:rsid w:val="00923EEE"/>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23EEE"/>
    <w:rPr>
      <w:sz w:val="20"/>
      <w:szCs w:val="20"/>
    </w:rPr>
  </w:style>
  <w:style w:type="character" w:styleId="Rimandonotaapidipagina">
    <w:name w:val="footnote reference"/>
    <w:basedOn w:val="Carpredefinitoparagrafo"/>
    <w:uiPriority w:val="99"/>
    <w:semiHidden/>
    <w:unhideWhenUsed/>
    <w:rsid w:val="00923E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951310">
      <w:bodyDiv w:val="1"/>
      <w:marLeft w:val="0"/>
      <w:marRight w:val="0"/>
      <w:marTop w:val="0"/>
      <w:marBottom w:val="0"/>
      <w:divBdr>
        <w:top w:val="none" w:sz="0" w:space="0" w:color="auto"/>
        <w:left w:val="none" w:sz="0" w:space="0" w:color="auto"/>
        <w:bottom w:val="none" w:sz="0" w:space="0" w:color="auto"/>
        <w:right w:val="none" w:sz="0" w:space="0" w:color="auto"/>
      </w:divBdr>
    </w:div>
    <w:div w:id="411976825">
      <w:bodyDiv w:val="1"/>
      <w:marLeft w:val="0"/>
      <w:marRight w:val="0"/>
      <w:marTop w:val="0"/>
      <w:marBottom w:val="0"/>
      <w:divBdr>
        <w:top w:val="none" w:sz="0" w:space="0" w:color="auto"/>
        <w:left w:val="none" w:sz="0" w:space="0" w:color="auto"/>
        <w:bottom w:val="none" w:sz="0" w:space="0" w:color="auto"/>
        <w:right w:val="none" w:sz="0" w:space="0" w:color="auto"/>
      </w:divBdr>
    </w:div>
    <w:div w:id="839853807">
      <w:bodyDiv w:val="1"/>
      <w:marLeft w:val="0"/>
      <w:marRight w:val="0"/>
      <w:marTop w:val="0"/>
      <w:marBottom w:val="0"/>
      <w:divBdr>
        <w:top w:val="none" w:sz="0" w:space="0" w:color="auto"/>
        <w:left w:val="none" w:sz="0" w:space="0" w:color="auto"/>
        <w:bottom w:val="none" w:sz="0" w:space="0" w:color="auto"/>
        <w:right w:val="none" w:sz="0" w:space="0" w:color="auto"/>
      </w:divBdr>
    </w:div>
    <w:div w:id="1009672707">
      <w:bodyDiv w:val="1"/>
      <w:marLeft w:val="0"/>
      <w:marRight w:val="0"/>
      <w:marTop w:val="0"/>
      <w:marBottom w:val="0"/>
      <w:divBdr>
        <w:top w:val="none" w:sz="0" w:space="0" w:color="auto"/>
        <w:left w:val="none" w:sz="0" w:space="0" w:color="auto"/>
        <w:bottom w:val="none" w:sz="0" w:space="0" w:color="auto"/>
        <w:right w:val="none" w:sz="0" w:space="0" w:color="auto"/>
      </w:divBdr>
    </w:div>
    <w:div w:id="1073048032">
      <w:bodyDiv w:val="1"/>
      <w:marLeft w:val="0"/>
      <w:marRight w:val="0"/>
      <w:marTop w:val="0"/>
      <w:marBottom w:val="0"/>
      <w:divBdr>
        <w:top w:val="none" w:sz="0" w:space="0" w:color="auto"/>
        <w:left w:val="none" w:sz="0" w:space="0" w:color="auto"/>
        <w:bottom w:val="none" w:sz="0" w:space="0" w:color="auto"/>
        <w:right w:val="none" w:sz="0" w:space="0" w:color="auto"/>
      </w:divBdr>
    </w:div>
    <w:div w:id="1478574093">
      <w:bodyDiv w:val="1"/>
      <w:marLeft w:val="0"/>
      <w:marRight w:val="0"/>
      <w:marTop w:val="0"/>
      <w:marBottom w:val="0"/>
      <w:divBdr>
        <w:top w:val="none" w:sz="0" w:space="0" w:color="auto"/>
        <w:left w:val="none" w:sz="0" w:space="0" w:color="auto"/>
        <w:bottom w:val="none" w:sz="0" w:space="0" w:color="auto"/>
        <w:right w:val="none" w:sz="0" w:space="0" w:color="auto"/>
      </w:divBdr>
      <w:divsChild>
        <w:div w:id="2009553622">
          <w:marLeft w:val="0"/>
          <w:marRight w:val="0"/>
          <w:marTop w:val="0"/>
          <w:marBottom w:val="120"/>
          <w:divBdr>
            <w:top w:val="none" w:sz="0" w:space="0" w:color="auto"/>
            <w:left w:val="none" w:sz="0" w:space="0" w:color="auto"/>
            <w:bottom w:val="none" w:sz="0" w:space="0" w:color="auto"/>
            <w:right w:val="none" w:sz="0" w:space="0" w:color="auto"/>
          </w:divBdr>
        </w:div>
        <w:div w:id="1935161177">
          <w:marLeft w:val="0"/>
          <w:marRight w:val="0"/>
          <w:marTop w:val="0"/>
          <w:marBottom w:val="120"/>
          <w:divBdr>
            <w:top w:val="none" w:sz="0" w:space="0" w:color="auto"/>
            <w:left w:val="none" w:sz="0" w:space="0" w:color="auto"/>
            <w:bottom w:val="none" w:sz="0" w:space="0" w:color="auto"/>
            <w:right w:val="none" w:sz="0" w:space="0" w:color="auto"/>
          </w:divBdr>
        </w:div>
      </w:divsChild>
    </w:div>
    <w:div w:id="1541547329">
      <w:bodyDiv w:val="1"/>
      <w:marLeft w:val="0"/>
      <w:marRight w:val="0"/>
      <w:marTop w:val="0"/>
      <w:marBottom w:val="0"/>
      <w:divBdr>
        <w:top w:val="none" w:sz="0" w:space="0" w:color="auto"/>
        <w:left w:val="none" w:sz="0" w:space="0" w:color="auto"/>
        <w:bottom w:val="none" w:sz="0" w:space="0" w:color="auto"/>
        <w:right w:val="none" w:sz="0" w:space="0" w:color="auto"/>
      </w:divBdr>
    </w:div>
    <w:div w:id="1683776268">
      <w:bodyDiv w:val="1"/>
      <w:marLeft w:val="0"/>
      <w:marRight w:val="0"/>
      <w:marTop w:val="0"/>
      <w:marBottom w:val="0"/>
      <w:divBdr>
        <w:top w:val="none" w:sz="0" w:space="0" w:color="auto"/>
        <w:left w:val="none" w:sz="0" w:space="0" w:color="auto"/>
        <w:bottom w:val="none" w:sz="0" w:space="0" w:color="auto"/>
        <w:right w:val="none" w:sz="0" w:space="0" w:color="auto"/>
      </w:divBdr>
    </w:div>
    <w:div w:id="1752310141">
      <w:bodyDiv w:val="1"/>
      <w:marLeft w:val="0"/>
      <w:marRight w:val="0"/>
      <w:marTop w:val="0"/>
      <w:marBottom w:val="0"/>
      <w:divBdr>
        <w:top w:val="none" w:sz="0" w:space="0" w:color="auto"/>
        <w:left w:val="none" w:sz="0" w:space="0" w:color="auto"/>
        <w:bottom w:val="none" w:sz="0" w:space="0" w:color="auto"/>
        <w:right w:val="none" w:sz="0" w:space="0" w:color="auto"/>
      </w:divBdr>
      <w:divsChild>
        <w:div w:id="1621648769">
          <w:marLeft w:val="0"/>
          <w:marRight w:val="0"/>
          <w:marTop w:val="0"/>
          <w:marBottom w:val="120"/>
          <w:divBdr>
            <w:top w:val="none" w:sz="0" w:space="0" w:color="auto"/>
            <w:left w:val="none" w:sz="0" w:space="0" w:color="auto"/>
            <w:bottom w:val="none" w:sz="0" w:space="0" w:color="auto"/>
            <w:right w:val="none" w:sz="0" w:space="0" w:color="auto"/>
          </w:divBdr>
        </w:div>
        <w:div w:id="935289329">
          <w:marLeft w:val="0"/>
          <w:marRight w:val="0"/>
          <w:marTop w:val="0"/>
          <w:marBottom w:val="120"/>
          <w:divBdr>
            <w:top w:val="none" w:sz="0" w:space="0" w:color="auto"/>
            <w:left w:val="none" w:sz="0" w:space="0" w:color="auto"/>
            <w:bottom w:val="none" w:sz="0" w:space="0" w:color="auto"/>
            <w:right w:val="none" w:sz="0" w:space="0" w:color="auto"/>
          </w:divBdr>
        </w:div>
        <w:div w:id="94520872">
          <w:marLeft w:val="0"/>
          <w:marRight w:val="0"/>
          <w:marTop w:val="0"/>
          <w:marBottom w:val="120"/>
          <w:divBdr>
            <w:top w:val="none" w:sz="0" w:space="0" w:color="auto"/>
            <w:left w:val="none" w:sz="0" w:space="0" w:color="auto"/>
            <w:bottom w:val="none" w:sz="0" w:space="0" w:color="auto"/>
            <w:right w:val="none" w:sz="0" w:space="0" w:color="auto"/>
          </w:divBdr>
        </w:div>
        <w:div w:id="295718860">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onelegale.wolterskluwer.it/document/05AC00008847?pathId=f810c411f7b9c"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81dc52c-1646-4dbd-bc7f-93530074f1e2">
      <UserInfo>
        <DisplayName>chiara grasso</DisplayName>
        <AccountId>24</AccountId>
        <AccountType/>
      </UserInfo>
      <UserInfo>
        <DisplayName>Francesca Proia</DisplayName>
        <AccountId>23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A14B0E637B5F2439CFA9CB4F3D82AAF" ma:contentTypeVersion="10" ma:contentTypeDescription="Creare un nuovo documento." ma:contentTypeScope="" ma:versionID="5b2aef155ecaa4305af34e7e4413e5a3">
  <xsd:schema xmlns:xsd="http://www.w3.org/2001/XMLSchema" xmlns:xs="http://www.w3.org/2001/XMLSchema" xmlns:p="http://schemas.microsoft.com/office/2006/metadata/properties" xmlns:ns2="54df8d27-895a-4b63-9629-20846d94b731" xmlns:ns3="d81dc52c-1646-4dbd-bc7f-93530074f1e2" targetNamespace="http://schemas.microsoft.com/office/2006/metadata/properties" ma:root="true" ma:fieldsID="c24a17e101a31dda4f95d9854a513a92" ns2:_="" ns3:_="">
    <xsd:import namespace="54df8d27-895a-4b63-9629-20846d94b731"/>
    <xsd:import namespace="d81dc52c-1646-4dbd-bc7f-93530074f1e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df8d27-895a-4b63-9629-20846d94b7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1dc52c-1646-4dbd-bc7f-93530074f1e2"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F2FBD-77F2-46C3-946D-5E1FC231C8B1}">
  <ds:schemaRefs>
    <ds:schemaRef ds:uri="http://schemas.microsoft.com/office/2006/metadata/properties"/>
    <ds:schemaRef ds:uri="http://schemas.microsoft.com/office/infopath/2007/PartnerControls"/>
    <ds:schemaRef ds:uri="d81dc52c-1646-4dbd-bc7f-93530074f1e2"/>
  </ds:schemaRefs>
</ds:datastoreItem>
</file>

<file path=customXml/itemProps2.xml><?xml version="1.0" encoding="utf-8"?>
<ds:datastoreItem xmlns:ds="http://schemas.openxmlformats.org/officeDocument/2006/customXml" ds:itemID="{1FED1EA9-3A64-46BA-B4C1-7B3A547C9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df8d27-895a-4b63-9629-20846d94b731"/>
    <ds:schemaRef ds:uri="d81dc52c-1646-4dbd-bc7f-93530074f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06F6AC-7EE1-4D99-A7C4-F8054AD38509}">
  <ds:schemaRefs>
    <ds:schemaRef ds:uri="http://schemas.microsoft.com/sharepoint/v3/contenttype/forms"/>
  </ds:schemaRefs>
</ds:datastoreItem>
</file>

<file path=customXml/itemProps4.xml><?xml version="1.0" encoding="utf-8"?>
<ds:datastoreItem xmlns:ds="http://schemas.openxmlformats.org/officeDocument/2006/customXml" ds:itemID="{9BAE1911-045F-4958-8EC7-FF2C15A3C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5166</Words>
  <Characters>29448</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Mariella Sorrenti</dc:creator>
  <cp:keywords/>
  <dc:description/>
  <cp:lastModifiedBy>Mariella Sorrenti</cp:lastModifiedBy>
  <cp:revision>13</cp:revision>
  <dcterms:created xsi:type="dcterms:W3CDTF">2023-02-22T14:35:00Z</dcterms:created>
  <dcterms:modified xsi:type="dcterms:W3CDTF">2023-02-22T17:56:00Z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0x0101004A14B0E637B5F2439CFA9CB4F3D82AAF</vt:lpwstr>
  </property>
</Properties>
</file>