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15243" w14:textId="3EACCD77" w:rsidR="003E3309" w:rsidRPr="00A20489" w:rsidRDefault="003E3309" w:rsidP="003E3309">
      <w:pPr>
        <w:spacing w:after="0" w:line="240" w:lineRule="auto"/>
        <w:jc w:val="center"/>
        <w:textAlignment w:val="baseline"/>
        <w:rPr>
          <w:rFonts w:ascii="Bookman Old Style" w:eastAsia="Times New Roman" w:hAnsi="Bookman Old Style" w:cs="Segoe UI"/>
          <w:lang w:eastAsia="it-IT"/>
        </w:rPr>
      </w:pPr>
      <w:bookmarkStart w:id="0" w:name="_GoBack"/>
      <w:bookmarkEnd w:id="0"/>
    </w:p>
    <w:p w14:paraId="065328F9" w14:textId="77777777" w:rsidR="003E3309" w:rsidRPr="00A20489" w:rsidRDefault="003E3309" w:rsidP="003E3309">
      <w:pPr>
        <w:spacing w:after="0" w:line="240" w:lineRule="auto"/>
        <w:jc w:val="center"/>
        <w:textAlignment w:val="baseline"/>
        <w:rPr>
          <w:rFonts w:ascii="Bookman Old Style" w:eastAsia="Times New Roman" w:hAnsi="Bookman Old Style" w:cs="Segoe UI"/>
          <w:lang w:eastAsia="it-IT"/>
        </w:rPr>
      </w:pPr>
    </w:p>
    <w:p w14:paraId="618D8CE9" w14:textId="77777777" w:rsidR="003E3309" w:rsidRPr="00A20489" w:rsidRDefault="003E3309" w:rsidP="003E3309">
      <w:pPr>
        <w:spacing w:after="0" w:line="240" w:lineRule="auto"/>
        <w:jc w:val="center"/>
        <w:textAlignment w:val="baseline"/>
        <w:rPr>
          <w:rFonts w:ascii="Bookman Old Style" w:eastAsia="Times New Roman" w:hAnsi="Bookman Old Style" w:cs="Segoe UI"/>
          <w:lang w:eastAsia="it-IT"/>
        </w:rPr>
      </w:pPr>
    </w:p>
    <w:p w14:paraId="0E63A5CF" w14:textId="5A51E89D" w:rsidR="003E3309" w:rsidRPr="00A20489" w:rsidRDefault="00E61A7D" w:rsidP="003E3309">
      <w:pPr>
        <w:spacing w:after="0" w:line="240" w:lineRule="auto"/>
        <w:jc w:val="center"/>
        <w:textAlignment w:val="baseline"/>
        <w:rPr>
          <w:rFonts w:ascii="Bookman Old Style" w:eastAsia="Times New Roman" w:hAnsi="Bookman Old Style" w:cs="Segoe UI"/>
          <w:lang w:eastAsia="it-IT"/>
        </w:rPr>
      </w:pPr>
      <w:r w:rsidRPr="00A20489">
        <w:rPr>
          <w:rFonts w:ascii="Bookman Old Style" w:hAnsi="Bookman Old Style"/>
          <w:noProof/>
          <w:lang w:eastAsia="it-IT"/>
        </w:rPr>
        <w:drawing>
          <wp:inline distT="0" distB="0" distL="0" distR="0" wp14:anchorId="1355C520" wp14:editId="144C050A">
            <wp:extent cx="723900" cy="981075"/>
            <wp:effectExtent l="0" t="0" r="0" b="9525"/>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Immagine che contiene disegnand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81075"/>
                    </a:xfrm>
                    <a:prstGeom prst="rect">
                      <a:avLst/>
                    </a:prstGeom>
                    <a:noFill/>
                    <a:ln>
                      <a:noFill/>
                    </a:ln>
                  </pic:spPr>
                </pic:pic>
              </a:graphicData>
            </a:graphic>
          </wp:inline>
        </w:drawing>
      </w:r>
    </w:p>
    <w:p w14:paraId="52A7FFEC" w14:textId="77777777" w:rsidR="002D0F3F" w:rsidRPr="00A20489" w:rsidRDefault="002D0F3F" w:rsidP="003E3309">
      <w:pPr>
        <w:spacing w:after="0" w:line="240" w:lineRule="auto"/>
        <w:jc w:val="center"/>
        <w:rPr>
          <w:rFonts w:ascii="Bookman Old Style" w:hAnsi="Bookman Old Style"/>
          <w:b/>
          <w:bCs/>
        </w:rPr>
      </w:pPr>
    </w:p>
    <w:p w14:paraId="519F2637" w14:textId="146AA447" w:rsidR="002D0F3F" w:rsidRPr="00A20489" w:rsidRDefault="002D0F3F" w:rsidP="003E3309">
      <w:pPr>
        <w:spacing w:after="0" w:line="240" w:lineRule="auto"/>
        <w:jc w:val="center"/>
        <w:rPr>
          <w:rFonts w:ascii="Bookman Old Style" w:hAnsi="Bookman Old Style"/>
          <w:b/>
          <w:bCs/>
        </w:rPr>
      </w:pPr>
    </w:p>
    <w:p w14:paraId="5A2CEA4B" w14:textId="0825296C" w:rsidR="001736CD" w:rsidRPr="00A20489" w:rsidRDefault="001736CD" w:rsidP="003E3309">
      <w:pPr>
        <w:spacing w:after="0" w:line="240" w:lineRule="auto"/>
        <w:jc w:val="center"/>
        <w:rPr>
          <w:rFonts w:ascii="Bookman Old Style" w:hAnsi="Bookman Old Style"/>
          <w:b/>
          <w:bCs/>
        </w:rPr>
      </w:pPr>
    </w:p>
    <w:p w14:paraId="14B2D679" w14:textId="2BDAA950" w:rsidR="001736CD" w:rsidRPr="00A20489" w:rsidRDefault="001736CD" w:rsidP="003E3309">
      <w:pPr>
        <w:spacing w:after="0" w:line="240" w:lineRule="auto"/>
        <w:jc w:val="center"/>
        <w:rPr>
          <w:rFonts w:ascii="Bookman Old Style" w:hAnsi="Bookman Old Style"/>
          <w:b/>
          <w:bCs/>
        </w:rPr>
      </w:pPr>
    </w:p>
    <w:p w14:paraId="7E9E353B" w14:textId="166D0A1A" w:rsidR="001736CD" w:rsidRPr="00A20489" w:rsidRDefault="001736CD" w:rsidP="003E3309">
      <w:pPr>
        <w:spacing w:after="0" w:line="240" w:lineRule="auto"/>
        <w:jc w:val="center"/>
        <w:rPr>
          <w:rFonts w:ascii="Bookman Old Style" w:hAnsi="Bookman Old Style"/>
          <w:b/>
          <w:bCs/>
        </w:rPr>
      </w:pPr>
    </w:p>
    <w:p w14:paraId="7029500C" w14:textId="7BF0DCEF" w:rsidR="001736CD" w:rsidRPr="00A20489" w:rsidRDefault="001736CD" w:rsidP="003E3309">
      <w:pPr>
        <w:spacing w:after="0" w:line="240" w:lineRule="auto"/>
        <w:jc w:val="center"/>
        <w:rPr>
          <w:rFonts w:ascii="Bookman Old Style" w:hAnsi="Bookman Old Style"/>
          <w:b/>
          <w:bCs/>
        </w:rPr>
      </w:pPr>
    </w:p>
    <w:p w14:paraId="6258B156" w14:textId="7F981B76" w:rsidR="001736CD" w:rsidRPr="00A20489" w:rsidRDefault="001736CD" w:rsidP="003E3309">
      <w:pPr>
        <w:spacing w:after="0" w:line="240" w:lineRule="auto"/>
        <w:jc w:val="center"/>
        <w:rPr>
          <w:rFonts w:ascii="Bookman Old Style" w:hAnsi="Bookman Old Style"/>
          <w:b/>
          <w:bCs/>
        </w:rPr>
      </w:pPr>
    </w:p>
    <w:p w14:paraId="09627B4D" w14:textId="77777777" w:rsidR="001736CD" w:rsidRPr="00A20489" w:rsidRDefault="001736CD" w:rsidP="003E3309">
      <w:pPr>
        <w:spacing w:after="0" w:line="240" w:lineRule="auto"/>
        <w:jc w:val="center"/>
        <w:rPr>
          <w:rFonts w:ascii="Bookman Old Style" w:hAnsi="Bookman Old Style"/>
          <w:b/>
          <w:bCs/>
        </w:rPr>
      </w:pPr>
    </w:p>
    <w:p w14:paraId="6840A2A8" w14:textId="12ACEE10" w:rsidR="006A1032" w:rsidRPr="00A20489" w:rsidRDefault="006A1032" w:rsidP="003E3309">
      <w:pPr>
        <w:spacing w:after="0" w:line="240" w:lineRule="auto"/>
        <w:jc w:val="center"/>
        <w:rPr>
          <w:rFonts w:ascii="Bookman Old Style" w:hAnsi="Bookman Old Style"/>
          <w:b/>
          <w:bCs/>
        </w:rPr>
      </w:pPr>
    </w:p>
    <w:p w14:paraId="183B786E" w14:textId="77777777" w:rsidR="00934708" w:rsidRPr="00A20489" w:rsidRDefault="00934708"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3C87D8D2" w14:textId="77777777" w:rsidR="00934708" w:rsidRPr="00A20489" w:rsidRDefault="00934708"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19B4D93A" w14:textId="5B7FB34E" w:rsidR="0076099D" w:rsidRPr="00A20489" w:rsidRDefault="00934708" w:rsidP="00934708">
      <w:pPr>
        <w:shd w:val="clear" w:color="auto" w:fill="FFFFFF"/>
        <w:spacing w:after="0" w:line="240" w:lineRule="auto"/>
        <w:jc w:val="center"/>
        <w:rPr>
          <w:rFonts w:ascii="Bookman Old Style" w:eastAsia="Times New Roman" w:hAnsi="Bookman Old Style" w:cs="Times New Roman"/>
          <w:b/>
          <w:bCs/>
          <w:color w:val="000000"/>
          <w:lang w:eastAsia="it-IT"/>
        </w:rPr>
      </w:pPr>
      <w:r w:rsidRPr="00A20489">
        <w:rPr>
          <w:rFonts w:ascii="Bookman Old Style" w:eastAsia="Times New Roman" w:hAnsi="Bookman Old Style" w:cs="Times New Roman"/>
          <w:b/>
          <w:bCs/>
          <w:color w:val="000000"/>
          <w:lang w:eastAsia="it-IT"/>
        </w:rPr>
        <w:t xml:space="preserve">PROPOSTE </w:t>
      </w:r>
      <w:r w:rsidR="0076099D" w:rsidRPr="00A20489">
        <w:rPr>
          <w:rFonts w:ascii="Bookman Old Style" w:eastAsia="Times New Roman" w:hAnsi="Bookman Old Style" w:cs="Times New Roman"/>
          <w:b/>
          <w:bCs/>
          <w:color w:val="000000"/>
          <w:lang w:eastAsia="it-IT"/>
        </w:rPr>
        <w:t>DI EMENDAMENTI</w:t>
      </w:r>
    </w:p>
    <w:p w14:paraId="4559C0B2" w14:textId="77777777" w:rsidR="0076099D" w:rsidRPr="00A20489" w:rsidRDefault="00934708" w:rsidP="00934708">
      <w:pPr>
        <w:shd w:val="clear" w:color="auto" w:fill="FFFFFF"/>
        <w:spacing w:after="0" w:line="240" w:lineRule="auto"/>
        <w:jc w:val="center"/>
        <w:rPr>
          <w:rFonts w:ascii="Bookman Old Style" w:eastAsia="Times New Roman" w:hAnsi="Bookman Old Style" w:cs="Times New Roman"/>
          <w:b/>
          <w:bCs/>
          <w:color w:val="000000"/>
          <w:lang w:eastAsia="it-IT"/>
        </w:rPr>
      </w:pPr>
      <w:r w:rsidRPr="00A20489">
        <w:rPr>
          <w:rFonts w:ascii="Bookman Old Style" w:eastAsia="Times New Roman" w:hAnsi="Bookman Old Style" w:cs="Times New Roman"/>
          <w:b/>
          <w:bCs/>
          <w:color w:val="000000"/>
          <w:lang w:eastAsia="it-IT"/>
        </w:rPr>
        <w:t xml:space="preserve"> </w:t>
      </w:r>
    </w:p>
    <w:p w14:paraId="4F40D5E2" w14:textId="77777777" w:rsidR="0076099D" w:rsidRPr="00A20489" w:rsidRDefault="0076099D"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2215D097" w14:textId="3C21880F" w:rsidR="00713F2C" w:rsidRPr="00A20489" w:rsidRDefault="00713F2C" w:rsidP="00713F2C">
      <w:pPr>
        <w:shd w:val="clear" w:color="auto" w:fill="FFFFFF"/>
        <w:spacing w:after="0" w:line="240" w:lineRule="auto"/>
        <w:jc w:val="center"/>
        <w:rPr>
          <w:rFonts w:ascii="Bookman Old Style" w:hAnsi="Bookman Old Style"/>
          <w:b/>
          <w:bCs/>
        </w:rPr>
      </w:pPr>
      <w:r w:rsidRPr="00A20489">
        <w:rPr>
          <w:rFonts w:ascii="Bookman Old Style" w:hAnsi="Bookman Old Style"/>
          <w:b/>
          <w:bCs/>
        </w:rPr>
        <w:t>BILANCIO DI PREVISIONE DELLO STATO PER L’ANNO FINANZIARIO 2023 E BILANCIO PLURIENNALE PER IL TRIENNIO 2023-2025</w:t>
      </w:r>
    </w:p>
    <w:p w14:paraId="39F001C7" w14:textId="77777777" w:rsidR="00713F2C" w:rsidRPr="00A20489" w:rsidRDefault="00713F2C" w:rsidP="00713F2C">
      <w:pPr>
        <w:shd w:val="clear" w:color="auto" w:fill="FFFFFF"/>
        <w:spacing w:after="0" w:line="240" w:lineRule="auto"/>
        <w:jc w:val="center"/>
        <w:rPr>
          <w:rFonts w:ascii="Bookman Old Style" w:hAnsi="Bookman Old Style"/>
          <w:b/>
          <w:bCs/>
        </w:rPr>
      </w:pPr>
    </w:p>
    <w:p w14:paraId="47810FBA" w14:textId="28FCBD5E" w:rsidR="00713F2C" w:rsidRPr="00A20489" w:rsidRDefault="00713F2C" w:rsidP="00713F2C">
      <w:pPr>
        <w:shd w:val="clear" w:color="auto" w:fill="FFFFFF"/>
        <w:spacing w:after="0" w:line="240" w:lineRule="auto"/>
        <w:jc w:val="center"/>
        <w:rPr>
          <w:rFonts w:ascii="Bookman Old Style" w:hAnsi="Bookman Old Style"/>
          <w:b/>
          <w:bCs/>
        </w:rPr>
      </w:pPr>
      <w:r w:rsidRPr="00A20489">
        <w:rPr>
          <w:rFonts w:ascii="Bookman Old Style" w:hAnsi="Bookman Old Style"/>
          <w:b/>
          <w:bCs/>
        </w:rPr>
        <w:t>AC</w:t>
      </w:r>
      <w:r w:rsidR="00EF610F" w:rsidRPr="00A20489">
        <w:rPr>
          <w:rFonts w:ascii="Bookman Old Style" w:hAnsi="Bookman Old Style"/>
          <w:b/>
          <w:bCs/>
        </w:rPr>
        <w:t xml:space="preserve"> 643</w:t>
      </w:r>
    </w:p>
    <w:p w14:paraId="3D4523A5" w14:textId="77777777" w:rsidR="00713F2C" w:rsidRPr="00A20489" w:rsidRDefault="00713F2C" w:rsidP="00713F2C">
      <w:pPr>
        <w:shd w:val="clear" w:color="auto" w:fill="FFFFFF"/>
        <w:spacing w:after="0" w:line="240" w:lineRule="auto"/>
        <w:jc w:val="center"/>
        <w:rPr>
          <w:rFonts w:ascii="Bookman Old Style" w:hAnsi="Bookman Old Style"/>
          <w:b/>
          <w:bCs/>
        </w:rPr>
      </w:pPr>
    </w:p>
    <w:p w14:paraId="207538F3" w14:textId="77777777" w:rsidR="00713F2C" w:rsidRPr="00A20489" w:rsidRDefault="00713F2C" w:rsidP="00713F2C">
      <w:pPr>
        <w:shd w:val="clear" w:color="auto" w:fill="FFFFFF"/>
        <w:spacing w:after="0" w:line="240" w:lineRule="auto"/>
        <w:jc w:val="center"/>
        <w:rPr>
          <w:rFonts w:ascii="Bookman Old Style" w:hAnsi="Bookman Old Style"/>
          <w:b/>
          <w:bCs/>
        </w:rPr>
      </w:pPr>
    </w:p>
    <w:p w14:paraId="4C168B1B" w14:textId="77777777" w:rsidR="00713F2C" w:rsidRPr="00A20489" w:rsidRDefault="00713F2C" w:rsidP="00713F2C">
      <w:pPr>
        <w:shd w:val="clear" w:color="auto" w:fill="FFFFFF"/>
        <w:spacing w:after="0" w:line="240" w:lineRule="auto"/>
        <w:jc w:val="center"/>
        <w:rPr>
          <w:rFonts w:ascii="Bookman Old Style" w:hAnsi="Bookman Old Style"/>
          <w:b/>
          <w:bCs/>
        </w:rPr>
      </w:pPr>
    </w:p>
    <w:p w14:paraId="17E379EE" w14:textId="77777777" w:rsidR="00713F2C" w:rsidRPr="00A20489" w:rsidRDefault="00713F2C" w:rsidP="00713F2C">
      <w:pPr>
        <w:shd w:val="clear" w:color="auto" w:fill="FFFFFF"/>
        <w:spacing w:after="0" w:line="240" w:lineRule="auto"/>
        <w:jc w:val="center"/>
        <w:rPr>
          <w:rFonts w:ascii="Bookman Old Style" w:hAnsi="Bookman Old Style"/>
          <w:b/>
          <w:bCs/>
        </w:rPr>
      </w:pPr>
    </w:p>
    <w:p w14:paraId="77DC407B" w14:textId="77777777" w:rsidR="00A627E7" w:rsidRPr="00A20489" w:rsidRDefault="00A627E7"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17A8E5CD" w14:textId="77777777" w:rsidR="00A627E7" w:rsidRPr="00A20489" w:rsidRDefault="00A627E7"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0FB057F9" w14:textId="77777777" w:rsidR="00A627E7" w:rsidRPr="00A20489" w:rsidRDefault="00A627E7"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0443E85A" w14:textId="77777777" w:rsidR="00A627E7" w:rsidRPr="00A20489" w:rsidRDefault="00A627E7"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6BA05286" w14:textId="77777777" w:rsidR="00A627E7" w:rsidRPr="00A20489" w:rsidRDefault="00A627E7"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385279FD" w14:textId="77777777" w:rsidR="00934708" w:rsidRPr="00A20489" w:rsidRDefault="00934708" w:rsidP="00934708">
      <w:pPr>
        <w:shd w:val="clear" w:color="auto" w:fill="FFFFFF"/>
        <w:spacing w:after="0" w:line="240" w:lineRule="auto"/>
        <w:jc w:val="center"/>
        <w:rPr>
          <w:rFonts w:ascii="Bookman Old Style" w:eastAsia="Times New Roman" w:hAnsi="Bookman Old Style" w:cs="Times New Roman"/>
          <w:b/>
          <w:bCs/>
          <w:color w:val="000000"/>
          <w:lang w:eastAsia="it-IT"/>
        </w:rPr>
      </w:pPr>
    </w:p>
    <w:p w14:paraId="53957282" w14:textId="77777777" w:rsidR="00576EB2" w:rsidRPr="00A20489" w:rsidRDefault="00576EB2">
      <w:pPr>
        <w:rPr>
          <w:rFonts w:ascii="Bookman Old Style" w:hAnsi="Bookman Old Style"/>
          <w:b/>
          <w:shd w:val="clear" w:color="auto" w:fill="FFFFFF"/>
        </w:rPr>
      </w:pPr>
    </w:p>
    <w:p w14:paraId="49D34990" w14:textId="77777777" w:rsidR="00A37999" w:rsidRPr="00C40871" w:rsidRDefault="00A37999" w:rsidP="00A37999">
      <w:pPr>
        <w:rPr>
          <w:rFonts w:ascii="Bookman Old Style" w:eastAsia="Times New Roman" w:hAnsi="Bookman Old Style" w:cs="Arial"/>
          <w:b/>
          <w:bCs/>
        </w:rPr>
      </w:pPr>
      <w:r w:rsidRPr="00C40871">
        <w:rPr>
          <w:rFonts w:ascii="Bookman Old Style" w:eastAsia="Times New Roman" w:hAnsi="Bookman Old Style" w:cs="Arial"/>
          <w:b/>
          <w:bCs/>
        </w:rPr>
        <w:t xml:space="preserve">N.B. Gli emendamenti fondamentali sono segnalati con </w:t>
      </w:r>
      <w:r w:rsidRPr="00576EB2">
        <w:rPr>
          <w:rFonts w:ascii="Bookman Old Style" w:eastAsia="Times New Roman" w:hAnsi="Bookman Old Style" w:cs="Arial"/>
          <w:b/>
          <w:bCs/>
          <w:sz w:val="28"/>
          <w:szCs w:val="28"/>
        </w:rPr>
        <w:t>**</w:t>
      </w:r>
    </w:p>
    <w:p w14:paraId="0881C3E0" w14:textId="77777777" w:rsidR="00576EB2" w:rsidRPr="00A20489" w:rsidRDefault="00576EB2">
      <w:pPr>
        <w:rPr>
          <w:rFonts w:ascii="Bookman Old Style" w:hAnsi="Bookman Old Style"/>
          <w:b/>
          <w:shd w:val="clear" w:color="auto" w:fill="FFFFFF"/>
        </w:rPr>
      </w:pPr>
    </w:p>
    <w:p w14:paraId="535A2FEF" w14:textId="77777777" w:rsidR="00576EB2" w:rsidRPr="00A20489" w:rsidRDefault="00576EB2">
      <w:pPr>
        <w:rPr>
          <w:rFonts w:ascii="Bookman Old Style" w:hAnsi="Bookman Old Style"/>
          <w:b/>
          <w:shd w:val="clear" w:color="auto" w:fill="FFFFFF"/>
        </w:rPr>
      </w:pPr>
    </w:p>
    <w:p w14:paraId="4B5B8265" w14:textId="77777777" w:rsidR="00576EB2" w:rsidRPr="00A20489" w:rsidRDefault="00576EB2">
      <w:pPr>
        <w:rPr>
          <w:rFonts w:ascii="Bookman Old Style" w:hAnsi="Bookman Old Style"/>
          <w:b/>
          <w:shd w:val="clear" w:color="auto" w:fill="FFFFFF"/>
        </w:rPr>
      </w:pPr>
    </w:p>
    <w:p w14:paraId="56EAEA05" w14:textId="77777777" w:rsidR="00576EB2" w:rsidRPr="00A20489" w:rsidRDefault="00576EB2">
      <w:pPr>
        <w:rPr>
          <w:rFonts w:ascii="Bookman Old Style" w:hAnsi="Bookman Old Style"/>
          <w:b/>
          <w:shd w:val="clear" w:color="auto" w:fill="FFFFFF"/>
        </w:rPr>
      </w:pPr>
    </w:p>
    <w:p w14:paraId="3A25297E" w14:textId="77777777" w:rsidR="00576EB2" w:rsidRPr="00A20489" w:rsidRDefault="00576EB2">
      <w:pPr>
        <w:rPr>
          <w:rFonts w:ascii="Bookman Old Style" w:hAnsi="Bookman Old Style"/>
          <w:b/>
          <w:shd w:val="clear" w:color="auto" w:fill="FFFFFF"/>
        </w:rPr>
      </w:pPr>
    </w:p>
    <w:p w14:paraId="585B3EA8" w14:textId="77777777" w:rsidR="00576EB2" w:rsidRPr="00A20489" w:rsidRDefault="00576EB2">
      <w:pPr>
        <w:rPr>
          <w:rFonts w:ascii="Bookman Old Style" w:hAnsi="Bookman Old Style"/>
          <w:b/>
          <w:shd w:val="clear" w:color="auto" w:fill="FFFFFF"/>
        </w:rPr>
      </w:pPr>
    </w:p>
    <w:p w14:paraId="1AE49D58" w14:textId="77777777" w:rsidR="00576EB2" w:rsidRPr="00A20489" w:rsidRDefault="00576EB2">
      <w:pPr>
        <w:rPr>
          <w:rFonts w:ascii="Bookman Old Style" w:hAnsi="Bookman Old Style"/>
          <w:b/>
          <w:shd w:val="clear" w:color="auto" w:fill="FFFFFF"/>
        </w:rPr>
      </w:pPr>
    </w:p>
    <w:p w14:paraId="52CAECA8" w14:textId="77777777" w:rsidR="00576EB2" w:rsidRPr="00A20489" w:rsidRDefault="00576EB2">
      <w:pPr>
        <w:rPr>
          <w:rFonts w:ascii="Bookman Old Style" w:hAnsi="Bookman Old Style"/>
          <w:b/>
          <w:shd w:val="clear" w:color="auto" w:fill="FFFFFF"/>
        </w:rPr>
      </w:pPr>
    </w:p>
    <w:p w14:paraId="080C0B9E" w14:textId="77777777" w:rsidR="00D34631" w:rsidRPr="00A20489" w:rsidRDefault="00D34631" w:rsidP="00D86707">
      <w:pPr>
        <w:jc w:val="center"/>
        <w:rPr>
          <w:rFonts w:ascii="Bookman Old Style" w:hAnsi="Bookman Old Style"/>
          <w:b/>
          <w:bCs/>
          <w:i/>
          <w:iCs/>
        </w:rPr>
      </w:pPr>
    </w:p>
    <w:sdt>
      <w:sdtPr>
        <w:rPr>
          <w:rFonts w:ascii="Bookman Old Style" w:eastAsiaTheme="minorHAnsi" w:hAnsi="Bookman Old Style" w:cstheme="minorBidi"/>
          <w:color w:val="auto"/>
          <w:sz w:val="20"/>
          <w:szCs w:val="20"/>
          <w:lang w:eastAsia="en-US"/>
        </w:rPr>
        <w:id w:val="-1953314041"/>
        <w:docPartObj>
          <w:docPartGallery w:val="Table of Contents"/>
          <w:docPartUnique/>
        </w:docPartObj>
      </w:sdtPr>
      <w:sdtEndPr/>
      <w:sdtContent>
        <w:p w14:paraId="42606B42" w14:textId="2016FB85" w:rsidR="00D34631" w:rsidRPr="00175955" w:rsidRDefault="006C5D42" w:rsidP="00F06680">
          <w:pPr>
            <w:pStyle w:val="Titolosommario"/>
            <w:tabs>
              <w:tab w:val="left" w:pos="851"/>
            </w:tabs>
            <w:spacing w:before="0" w:after="40"/>
            <w:ind w:left="426" w:hanging="426"/>
            <w:rPr>
              <w:rFonts w:ascii="Bookman Old Style" w:hAnsi="Bookman Old Style"/>
              <w:color w:val="auto"/>
              <w:sz w:val="20"/>
              <w:szCs w:val="20"/>
            </w:rPr>
          </w:pPr>
          <w:r w:rsidRPr="00175955">
            <w:rPr>
              <w:rFonts w:ascii="Bookman Old Style" w:hAnsi="Bookman Old Style"/>
              <w:color w:val="auto"/>
              <w:sz w:val="20"/>
              <w:szCs w:val="20"/>
            </w:rPr>
            <w:t>Indice</w:t>
          </w:r>
        </w:p>
        <w:p w14:paraId="73912C40" w14:textId="21A4FE6B" w:rsidR="009E1B8B" w:rsidRDefault="00D34631">
          <w:pPr>
            <w:pStyle w:val="Sommario3"/>
            <w:rPr>
              <w:rFonts w:eastAsiaTheme="minorEastAsia"/>
              <w:noProof/>
              <w:lang w:eastAsia="it-IT"/>
            </w:rPr>
          </w:pPr>
          <w:r w:rsidRPr="00C17197">
            <w:rPr>
              <w:rFonts w:ascii="Bookman Old Style" w:hAnsi="Bookman Old Style"/>
              <w:noProof/>
              <w:sz w:val="20"/>
              <w:szCs w:val="20"/>
            </w:rPr>
            <w:fldChar w:fldCharType="begin"/>
          </w:r>
          <w:r w:rsidRPr="00C17197">
            <w:rPr>
              <w:rFonts w:ascii="Bookman Old Style" w:hAnsi="Bookman Old Style"/>
              <w:sz w:val="20"/>
              <w:szCs w:val="20"/>
            </w:rPr>
            <w:instrText xml:space="preserve"> TOC \o "1-3" \h \z \u </w:instrText>
          </w:r>
          <w:r w:rsidRPr="00C17197">
            <w:rPr>
              <w:rFonts w:ascii="Bookman Old Style" w:hAnsi="Bookman Old Style"/>
              <w:noProof/>
              <w:sz w:val="20"/>
              <w:szCs w:val="20"/>
            </w:rPr>
            <w:fldChar w:fldCharType="separate"/>
          </w:r>
          <w:hyperlink w:anchor="_Toc121214243" w:history="1">
            <w:r w:rsidR="009E1B8B" w:rsidRPr="00851F5B">
              <w:rPr>
                <w:rStyle w:val="Collegamentoipertestuale"/>
                <w:rFonts w:ascii="Bookman Old Style" w:hAnsi="Bookman Old Style"/>
                <w:b/>
                <w:bCs/>
                <w:noProof/>
              </w:rPr>
              <w:t>NORME FONDAMENTALI</w:t>
            </w:r>
            <w:r w:rsidR="009E1B8B">
              <w:rPr>
                <w:noProof/>
                <w:webHidden/>
              </w:rPr>
              <w:tab/>
            </w:r>
            <w:r w:rsidR="009E1B8B">
              <w:rPr>
                <w:noProof/>
                <w:webHidden/>
              </w:rPr>
              <w:fldChar w:fldCharType="begin"/>
            </w:r>
            <w:r w:rsidR="009E1B8B">
              <w:rPr>
                <w:noProof/>
                <w:webHidden/>
              </w:rPr>
              <w:instrText xml:space="preserve"> PAGEREF _Toc121214243 \h </w:instrText>
            </w:r>
            <w:r w:rsidR="009E1B8B">
              <w:rPr>
                <w:noProof/>
                <w:webHidden/>
              </w:rPr>
            </w:r>
            <w:r w:rsidR="009E1B8B">
              <w:rPr>
                <w:noProof/>
                <w:webHidden/>
              </w:rPr>
              <w:fldChar w:fldCharType="separate"/>
            </w:r>
            <w:r w:rsidR="009E1B8B">
              <w:rPr>
                <w:noProof/>
                <w:webHidden/>
              </w:rPr>
              <w:t>6</w:t>
            </w:r>
            <w:r w:rsidR="009E1B8B">
              <w:rPr>
                <w:noProof/>
                <w:webHidden/>
              </w:rPr>
              <w:fldChar w:fldCharType="end"/>
            </w:r>
          </w:hyperlink>
        </w:p>
        <w:p w14:paraId="235B7987" w14:textId="09A13596" w:rsidR="009E1B8B" w:rsidRDefault="002B0482">
          <w:pPr>
            <w:pStyle w:val="Sommario3"/>
            <w:rPr>
              <w:rFonts w:eastAsiaTheme="minorEastAsia"/>
              <w:noProof/>
              <w:lang w:eastAsia="it-IT"/>
            </w:rPr>
          </w:pPr>
          <w:hyperlink w:anchor="_Toc121214244" w:history="1">
            <w:r w:rsidR="009E1B8B" w:rsidRPr="00851F5B">
              <w:rPr>
                <w:rStyle w:val="Collegamentoipertestuale"/>
                <w:rFonts w:ascii="Bookman Old Style" w:hAnsi="Bookman Old Style"/>
                <w:b/>
                <w:bCs/>
                <w:noProof/>
              </w:rPr>
              <w:t>1.</w:t>
            </w:r>
            <w:r w:rsidR="009E1B8B">
              <w:rPr>
                <w:rFonts w:eastAsiaTheme="minorEastAsia"/>
                <w:noProof/>
                <w:lang w:eastAsia="it-IT"/>
              </w:rPr>
              <w:tab/>
            </w:r>
            <w:r w:rsidR="009E1B8B" w:rsidRPr="00851F5B">
              <w:rPr>
                <w:rStyle w:val="Collegamentoipertestuale"/>
                <w:rFonts w:ascii="Bookman Old Style" w:hAnsi="Bookman Old Style"/>
                <w:b/>
                <w:bCs/>
                <w:noProof/>
              </w:rPr>
              <w:t>Modifiche al Fondo di solidarietà comunale (art. 141)**</w:t>
            </w:r>
            <w:r w:rsidR="009E1B8B">
              <w:rPr>
                <w:noProof/>
                <w:webHidden/>
              </w:rPr>
              <w:tab/>
            </w:r>
            <w:r w:rsidR="009E1B8B">
              <w:rPr>
                <w:noProof/>
                <w:webHidden/>
              </w:rPr>
              <w:fldChar w:fldCharType="begin"/>
            </w:r>
            <w:r w:rsidR="009E1B8B">
              <w:rPr>
                <w:noProof/>
                <w:webHidden/>
              </w:rPr>
              <w:instrText xml:space="preserve"> PAGEREF _Toc121214244 \h </w:instrText>
            </w:r>
            <w:r w:rsidR="009E1B8B">
              <w:rPr>
                <w:noProof/>
                <w:webHidden/>
              </w:rPr>
            </w:r>
            <w:r w:rsidR="009E1B8B">
              <w:rPr>
                <w:noProof/>
                <w:webHidden/>
              </w:rPr>
              <w:fldChar w:fldCharType="separate"/>
            </w:r>
            <w:r w:rsidR="009E1B8B">
              <w:rPr>
                <w:noProof/>
                <w:webHidden/>
              </w:rPr>
              <w:t>6</w:t>
            </w:r>
            <w:r w:rsidR="009E1B8B">
              <w:rPr>
                <w:noProof/>
                <w:webHidden/>
              </w:rPr>
              <w:fldChar w:fldCharType="end"/>
            </w:r>
          </w:hyperlink>
        </w:p>
        <w:p w14:paraId="075207A3" w14:textId="2BEA7D7E" w:rsidR="009E1B8B" w:rsidRDefault="002B0482">
          <w:pPr>
            <w:pStyle w:val="Sommario3"/>
            <w:rPr>
              <w:rFonts w:eastAsiaTheme="minorEastAsia"/>
              <w:noProof/>
              <w:lang w:eastAsia="it-IT"/>
            </w:rPr>
          </w:pPr>
          <w:hyperlink w:anchor="_Toc121214245" w:history="1">
            <w:r w:rsidR="009E1B8B" w:rsidRPr="00851F5B">
              <w:rPr>
                <w:rStyle w:val="Collegamentoipertestuale"/>
                <w:rFonts w:ascii="Bookman Old Style" w:hAnsi="Bookman Old Style"/>
                <w:b/>
                <w:bCs/>
                <w:noProof/>
              </w:rPr>
              <w:t>2.</w:t>
            </w:r>
            <w:r w:rsidR="009E1B8B">
              <w:rPr>
                <w:rFonts w:eastAsiaTheme="minorEastAsia"/>
                <w:noProof/>
                <w:lang w:eastAsia="it-IT"/>
              </w:rPr>
              <w:tab/>
            </w:r>
            <w:r w:rsidR="009E1B8B" w:rsidRPr="00851F5B">
              <w:rPr>
                <w:rStyle w:val="Collegamentoipertestuale"/>
                <w:rFonts w:ascii="Bookman Old Style" w:hAnsi="Bookman Old Style"/>
                <w:b/>
                <w:bCs/>
                <w:noProof/>
              </w:rPr>
              <w:t>Flessibilità nella gestione finanziaria per fronteggiare l’emergenza **</w:t>
            </w:r>
            <w:r w:rsidR="009E1B8B">
              <w:rPr>
                <w:noProof/>
                <w:webHidden/>
              </w:rPr>
              <w:tab/>
            </w:r>
            <w:r w:rsidR="009E1B8B">
              <w:rPr>
                <w:noProof/>
                <w:webHidden/>
              </w:rPr>
              <w:fldChar w:fldCharType="begin"/>
            </w:r>
            <w:r w:rsidR="009E1B8B">
              <w:rPr>
                <w:noProof/>
                <w:webHidden/>
              </w:rPr>
              <w:instrText xml:space="preserve"> PAGEREF _Toc121214245 \h </w:instrText>
            </w:r>
            <w:r w:rsidR="009E1B8B">
              <w:rPr>
                <w:noProof/>
                <w:webHidden/>
              </w:rPr>
            </w:r>
            <w:r w:rsidR="009E1B8B">
              <w:rPr>
                <w:noProof/>
                <w:webHidden/>
              </w:rPr>
              <w:fldChar w:fldCharType="separate"/>
            </w:r>
            <w:r w:rsidR="009E1B8B">
              <w:rPr>
                <w:noProof/>
                <w:webHidden/>
              </w:rPr>
              <w:t>7</w:t>
            </w:r>
            <w:r w:rsidR="009E1B8B">
              <w:rPr>
                <w:noProof/>
                <w:webHidden/>
              </w:rPr>
              <w:fldChar w:fldCharType="end"/>
            </w:r>
          </w:hyperlink>
        </w:p>
        <w:p w14:paraId="70FBB8A7" w14:textId="055A3FA1" w:rsidR="009E1B8B" w:rsidRDefault="002B0482">
          <w:pPr>
            <w:pStyle w:val="Sommario3"/>
            <w:rPr>
              <w:rFonts w:eastAsiaTheme="minorEastAsia"/>
              <w:noProof/>
              <w:lang w:eastAsia="it-IT"/>
            </w:rPr>
          </w:pPr>
          <w:hyperlink w:anchor="_Toc121214246" w:history="1">
            <w:r w:rsidR="009E1B8B" w:rsidRPr="00851F5B">
              <w:rPr>
                <w:rStyle w:val="Collegamentoipertestuale"/>
                <w:rFonts w:ascii="Bookman Old Style" w:hAnsi="Bookman Old Style"/>
                <w:b/>
                <w:bCs/>
                <w:noProof/>
              </w:rPr>
              <w:t>3.</w:t>
            </w:r>
            <w:r w:rsidR="009E1B8B">
              <w:rPr>
                <w:rFonts w:eastAsiaTheme="minorEastAsia"/>
                <w:noProof/>
                <w:lang w:eastAsia="it-IT"/>
              </w:rPr>
              <w:tab/>
            </w:r>
            <w:r w:rsidR="009E1B8B" w:rsidRPr="00851F5B">
              <w:rPr>
                <w:rStyle w:val="Collegamentoipertestuale"/>
                <w:rFonts w:ascii="Bookman Old Style" w:hAnsi="Bookman Old Style"/>
                <w:b/>
                <w:bCs/>
                <w:noProof/>
              </w:rPr>
              <w:t>Alleggerimento oneri da indebitamento e utilizzo per le maggiori spese energetiche **</w:t>
            </w:r>
            <w:r w:rsidR="009E1B8B">
              <w:rPr>
                <w:noProof/>
                <w:webHidden/>
              </w:rPr>
              <w:tab/>
            </w:r>
            <w:r w:rsidR="009E1B8B">
              <w:rPr>
                <w:noProof/>
                <w:webHidden/>
              </w:rPr>
              <w:fldChar w:fldCharType="begin"/>
            </w:r>
            <w:r w:rsidR="009E1B8B">
              <w:rPr>
                <w:noProof/>
                <w:webHidden/>
              </w:rPr>
              <w:instrText xml:space="preserve"> PAGEREF _Toc121214246 \h </w:instrText>
            </w:r>
            <w:r w:rsidR="009E1B8B">
              <w:rPr>
                <w:noProof/>
                <w:webHidden/>
              </w:rPr>
            </w:r>
            <w:r w:rsidR="009E1B8B">
              <w:rPr>
                <w:noProof/>
                <w:webHidden/>
              </w:rPr>
              <w:fldChar w:fldCharType="separate"/>
            </w:r>
            <w:r w:rsidR="009E1B8B">
              <w:rPr>
                <w:noProof/>
                <w:webHidden/>
              </w:rPr>
              <w:t>10</w:t>
            </w:r>
            <w:r w:rsidR="009E1B8B">
              <w:rPr>
                <w:noProof/>
                <w:webHidden/>
              </w:rPr>
              <w:fldChar w:fldCharType="end"/>
            </w:r>
          </w:hyperlink>
        </w:p>
        <w:p w14:paraId="03E7C09A" w14:textId="514F6F56" w:rsidR="009E1B8B" w:rsidRDefault="002B0482">
          <w:pPr>
            <w:pStyle w:val="Sommario3"/>
            <w:rPr>
              <w:rFonts w:eastAsiaTheme="minorEastAsia"/>
              <w:noProof/>
              <w:lang w:eastAsia="it-IT"/>
            </w:rPr>
          </w:pPr>
          <w:hyperlink w:anchor="_Toc121214247" w:history="1">
            <w:r w:rsidR="009E1B8B" w:rsidRPr="00851F5B">
              <w:rPr>
                <w:rStyle w:val="Collegamentoipertestuale"/>
                <w:rFonts w:ascii="Bookman Old Style" w:hAnsi="Bookman Old Style"/>
                <w:b/>
                <w:bCs/>
                <w:noProof/>
              </w:rPr>
              <w:t>4.</w:t>
            </w:r>
            <w:r w:rsidR="009E1B8B">
              <w:rPr>
                <w:rFonts w:eastAsiaTheme="minorEastAsia"/>
                <w:noProof/>
                <w:lang w:eastAsia="it-IT"/>
              </w:rPr>
              <w:tab/>
            </w:r>
            <w:r w:rsidR="009E1B8B" w:rsidRPr="00851F5B">
              <w:rPr>
                <w:rStyle w:val="Collegamentoipertestuale"/>
                <w:rFonts w:ascii="Bookman Old Style" w:hAnsi="Bookman Old Style"/>
                <w:b/>
                <w:bCs/>
                <w:noProof/>
              </w:rPr>
              <w:t>Abolizione dei tagli di risorse agli enti locali **</w:t>
            </w:r>
            <w:r w:rsidR="009E1B8B">
              <w:rPr>
                <w:noProof/>
                <w:webHidden/>
              </w:rPr>
              <w:tab/>
            </w:r>
            <w:r w:rsidR="009E1B8B">
              <w:rPr>
                <w:noProof/>
                <w:webHidden/>
              </w:rPr>
              <w:fldChar w:fldCharType="begin"/>
            </w:r>
            <w:r w:rsidR="009E1B8B">
              <w:rPr>
                <w:noProof/>
                <w:webHidden/>
              </w:rPr>
              <w:instrText xml:space="preserve"> PAGEREF _Toc121214247 \h </w:instrText>
            </w:r>
            <w:r w:rsidR="009E1B8B">
              <w:rPr>
                <w:noProof/>
                <w:webHidden/>
              </w:rPr>
            </w:r>
            <w:r w:rsidR="009E1B8B">
              <w:rPr>
                <w:noProof/>
                <w:webHidden/>
              </w:rPr>
              <w:fldChar w:fldCharType="separate"/>
            </w:r>
            <w:r w:rsidR="009E1B8B">
              <w:rPr>
                <w:noProof/>
                <w:webHidden/>
              </w:rPr>
              <w:t>11</w:t>
            </w:r>
            <w:r w:rsidR="009E1B8B">
              <w:rPr>
                <w:noProof/>
                <w:webHidden/>
              </w:rPr>
              <w:fldChar w:fldCharType="end"/>
            </w:r>
          </w:hyperlink>
        </w:p>
        <w:p w14:paraId="6CD49701" w14:textId="6A5015EE" w:rsidR="009E1B8B" w:rsidRDefault="002B0482">
          <w:pPr>
            <w:pStyle w:val="Sommario3"/>
            <w:rPr>
              <w:rFonts w:eastAsiaTheme="minorEastAsia"/>
              <w:noProof/>
              <w:lang w:eastAsia="it-IT"/>
            </w:rPr>
          </w:pPr>
          <w:hyperlink w:anchor="_Toc121214248" w:history="1">
            <w:r w:rsidR="009E1B8B" w:rsidRPr="00851F5B">
              <w:rPr>
                <w:rStyle w:val="Collegamentoipertestuale"/>
                <w:rFonts w:ascii="Bookman Old Style" w:hAnsi="Bookman Old Style"/>
                <w:b/>
                <w:bCs/>
                <w:noProof/>
              </w:rPr>
              <w:t>5.</w:t>
            </w:r>
            <w:r w:rsidR="009E1B8B">
              <w:rPr>
                <w:rFonts w:eastAsiaTheme="minorEastAsia"/>
                <w:noProof/>
                <w:lang w:eastAsia="it-IT"/>
              </w:rPr>
              <w:tab/>
            </w:r>
            <w:r w:rsidR="009E1B8B" w:rsidRPr="00851F5B">
              <w:rPr>
                <w:rStyle w:val="Collegamentoipertestuale"/>
                <w:rFonts w:ascii="Bookman Old Style" w:hAnsi="Bookman Old Style"/>
                <w:b/>
                <w:bCs/>
                <w:noProof/>
              </w:rPr>
              <w:t>Definizione agevolata delle entrate locali e condizioni per l’adozione dei programmi potenziamento entrate (co.1091, l. 145/2018)</w:t>
            </w:r>
            <w:r w:rsidR="009E1B8B" w:rsidRPr="00851F5B">
              <w:rPr>
                <w:rStyle w:val="Collegamentoipertestuale"/>
                <w:rFonts w:ascii="Times New Roman" w:hAnsi="Times New Roman" w:cs="Times New Roman"/>
                <w:b/>
                <w:bCs/>
                <w:noProof/>
              </w:rPr>
              <w:t> </w:t>
            </w:r>
            <w:r w:rsidR="009E1B8B" w:rsidRPr="00851F5B">
              <w:rPr>
                <w:rStyle w:val="Collegamentoipertestuale"/>
                <w:rFonts w:ascii="Bookman Old Style" w:hAnsi="Bookman Old Style"/>
                <w:b/>
                <w:bCs/>
                <w:noProof/>
              </w:rPr>
              <w:t>**</w:t>
            </w:r>
            <w:r w:rsidR="009E1B8B">
              <w:rPr>
                <w:noProof/>
                <w:webHidden/>
              </w:rPr>
              <w:tab/>
            </w:r>
            <w:r w:rsidR="009E1B8B">
              <w:rPr>
                <w:noProof/>
                <w:webHidden/>
              </w:rPr>
              <w:fldChar w:fldCharType="begin"/>
            </w:r>
            <w:r w:rsidR="009E1B8B">
              <w:rPr>
                <w:noProof/>
                <w:webHidden/>
              </w:rPr>
              <w:instrText xml:space="preserve"> PAGEREF _Toc121214248 \h </w:instrText>
            </w:r>
            <w:r w:rsidR="009E1B8B">
              <w:rPr>
                <w:noProof/>
                <w:webHidden/>
              </w:rPr>
            </w:r>
            <w:r w:rsidR="009E1B8B">
              <w:rPr>
                <w:noProof/>
                <w:webHidden/>
              </w:rPr>
              <w:fldChar w:fldCharType="separate"/>
            </w:r>
            <w:r w:rsidR="009E1B8B">
              <w:rPr>
                <w:noProof/>
                <w:webHidden/>
              </w:rPr>
              <w:t>11</w:t>
            </w:r>
            <w:r w:rsidR="009E1B8B">
              <w:rPr>
                <w:noProof/>
                <w:webHidden/>
              </w:rPr>
              <w:fldChar w:fldCharType="end"/>
            </w:r>
          </w:hyperlink>
        </w:p>
        <w:p w14:paraId="32B1F102" w14:textId="45027F8C" w:rsidR="009E1B8B" w:rsidRDefault="002B0482">
          <w:pPr>
            <w:pStyle w:val="Sommario3"/>
            <w:rPr>
              <w:rFonts w:eastAsiaTheme="minorEastAsia"/>
              <w:noProof/>
              <w:lang w:eastAsia="it-IT"/>
            </w:rPr>
          </w:pPr>
          <w:hyperlink w:anchor="_Toc121214249" w:history="1">
            <w:r w:rsidR="009E1B8B" w:rsidRPr="00851F5B">
              <w:rPr>
                <w:rStyle w:val="Collegamentoipertestuale"/>
                <w:rFonts w:ascii="Bookman Old Style" w:hAnsi="Bookman Old Style"/>
                <w:b/>
                <w:bCs/>
                <w:noProof/>
              </w:rPr>
              <w:t>6.</w:t>
            </w:r>
            <w:r w:rsidR="009E1B8B">
              <w:rPr>
                <w:rFonts w:eastAsiaTheme="minorEastAsia"/>
                <w:noProof/>
                <w:lang w:eastAsia="it-IT"/>
              </w:rPr>
              <w:tab/>
            </w:r>
            <w:r w:rsidR="009E1B8B" w:rsidRPr="00851F5B">
              <w:rPr>
                <w:rStyle w:val="Collegamentoipertestuale"/>
                <w:rFonts w:ascii="Bookman Old Style" w:hAnsi="Bookman Old Style"/>
                <w:b/>
                <w:bCs/>
                <w:noProof/>
              </w:rPr>
              <w:t>Accordi capoluoghi-Contributo e estensione dei partecipanti **</w:t>
            </w:r>
            <w:r w:rsidR="009E1B8B">
              <w:rPr>
                <w:noProof/>
                <w:webHidden/>
              </w:rPr>
              <w:tab/>
            </w:r>
            <w:r w:rsidR="009E1B8B">
              <w:rPr>
                <w:noProof/>
                <w:webHidden/>
              </w:rPr>
              <w:fldChar w:fldCharType="begin"/>
            </w:r>
            <w:r w:rsidR="009E1B8B">
              <w:rPr>
                <w:noProof/>
                <w:webHidden/>
              </w:rPr>
              <w:instrText xml:space="preserve"> PAGEREF _Toc121214249 \h </w:instrText>
            </w:r>
            <w:r w:rsidR="009E1B8B">
              <w:rPr>
                <w:noProof/>
                <w:webHidden/>
              </w:rPr>
            </w:r>
            <w:r w:rsidR="009E1B8B">
              <w:rPr>
                <w:noProof/>
                <w:webHidden/>
              </w:rPr>
              <w:fldChar w:fldCharType="separate"/>
            </w:r>
            <w:r w:rsidR="009E1B8B">
              <w:rPr>
                <w:noProof/>
                <w:webHidden/>
              </w:rPr>
              <w:t>12</w:t>
            </w:r>
            <w:r w:rsidR="009E1B8B">
              <w:rPr>
                <w:noProof/>
                <w:webHidden/>
              </w:rPr>
              <w:fldChar w:fldCharType="end"/>
            </w:r>
          </w:hyperlink>
        </w:p>
        <w:p w14:paraId="6F77A613" w14:textId="3FA29F29" w:rsidR="009E1B8B" w:rsidRDefault="002B0482">
          <w:pPr>
            <w:pStyle w:val="Sommario3"/>
            <w:rPr>
              <w:rFonts w:eastAsiaTheme="minorEastAsia"/>
              <w:noProof/>
              <w:lang w:eastAsia="it-IT"/>
            </w:rPr>
          </w:pPr>
          <w:hyperlink w:anchor="_Toc121214250" w:history="1">
            <w:r w:rsidR="009E1B8B" w:rsidRPr="00851F5B">
              <w:rPr>
                <w:rStyle w:val="Collegamentoipertestuale"/>
                <w:rFonts w:ascii="Bookman Old Style" w:hAnsi="Bookman Old Style"/>
                <w:b/>
                <w:bCs/>
                <w:noProof/>
              </w:rPr>
              <w:t>7.</w:t>
            </w:r>
            <w:r w:rsidR="009E1B8B">
              <w:rPr>
                <w:rFonts w:eastAsiaTheme="minorEastAsia"/>
                <w:noProof/>
                <w:lang w:eastAsia="it-IT"/>
              </w:rPr>
              <w:tab/>
            </w:r>
            <w:r w:rsidR="009E1B8B" w:rsidRPr="00851F5B">
              <w:rPr>
                <w:rStyle w:val="Collegamentoipertestuale"/>
                <w:rFonts w:ascii="Bookman Old Style" w:hAnsi="Bookman Old Style"/>
                <w:b/>
                <w:bCs/>
                <w:noProof/>
              </w:rPr>
              <w:t>Arco temporale dei contributi e monitoraggio dei maggiori oneri in materia di emergenza energetica degli enti territoriali (art. 8)**</w:t>
            </w:r>
            <w:r w:rsidR="009E1B8B">
              <w:rPr>
                <w:noProof/>
                <w:webHidden/>
              </w:rPr>
              <w:tab/>
            </w:r>
            <w:r w:rsidR="009E1B8B">
              <w:rPr>
                <w:noProof/>
                <w:webHidden/>
              </w:rPr>
              <w:fldChar w:fldCharType="begin"/>
            </w:r>
            <w:r w:rsidR="009E1B8B">
              <w:rPr>
                <w:noProof/>
                <w:webHidden/>
              </w:rPr>
              <w:instrText xml:space="preserve"> PAGEREF _Toc121214250 \h </w:instrText>
            </w:r>
            <w:r w:rsidR="009E1B8B">
              <w:rPr>
                <w:noProof/>
                <w:webHidden/>
              </w:rPr>
            </w:r>
            <w:r w:rsidR="009E1B8B">
              <w:rPr>
                <w:noProof/>
                <w:webHidden/>
              </w:rPr>
              <w:fldChar w:fldCharType="separate"/>
            </w:r>
            <w:r w:rsidR="009E1B8B">
              <w:rPr>
                <w:noProof/>
                <w:webHidden/>
              </w:rPr>
              <w:t>14</w:t>
            </w:r>
            <w:r w:rsidR="009E1B8B">
              <w:rPr>
                <w:noProof/>
                <w:webHidden/>
              </w:rPr>
              <w:fldChar w:fldCharType="end"/>
            </w:r>
          </w:hyperlink>
        </w:p>
        <w:p w14:paraId="5C2B2AA0" w14:textId="5E741731" w:rsidR="009E1B8B" w:rsidRDefault="002B0482">
          <w:pPr>
            <w:pStyle w:val="Sommario3"/>
            <w:rPr>
              <w:rFonts w:eastAsiaTheme="minorEastAsia"/>
              <w:noProof/>
              <w:lang w:eastAsia="it-IT"/>
            </w:rPr>
          </w:pPr>
          <w:hyperlink w:anchor="_Toc121214251" w:history="1">
            <w:r w:rsidR="009E1B8B" w:rsidRPr="00851F5B">
              <w:rPr>
                <w:rStyle w:val="Collegamentoipertestuale"/>
                <w:rFonts w:ascii="Bookman Old Style" w:hAnsi="Bookman Old Style"/>
                <w:b/>
                <w:bCs/>
                <w:noProof/>
              </w:rPr>
              <w:t>8.</w:t>
            </w:r>
            <w:r w:rsidR="009E1B8B">
              <w:rPr>
                <w:rFonts w:eastAsiaTheme="minorEastAsia"/>
                <w:noProof/>
                <w:lang w:eastAsia="it-IT"/>
              </w:rPr>
              <w:tab/>
            </w:r>
            <w:r w:rsidR="009E1B8B" w:rsidRPr="00851F5B">
              <w:rPr>
                <w:rStyle w:val="Collegamentoipertestuale"/>
                <w:rFonts w:ascii="Bookman Old Style" w:hAnsi="Bookman Old Style"/>
                <w:b/>
                <w:bCs/>
                <w:noProof/>
              </w:rPr>
              <w:t>Risorse delle Città metropolitane **</w:t>
            </w:r>
            <w:r w:rsidR="009E1B8B">
              <w:rPr>
                <w:noProof/>
                <w:webHidden/>
              </w:rPr>
              <w:tab/>
            </w:r>
            <w:r w:rsidR="009E1B8B">
              <w:rPr>
                <w:noProof/>
                <w:webHidden/>
              </w:rPr>
              <w:fldChar w:fldCharType="begin"/>
            </w:r>
            <w:r w:rsidR="009E1B8B">
              <w:rPr>
                <w:noProof/>
                <w:webHidden/>
              </w:rPr>
              <w:instrText xml:space="preserve"> PAGEREF _Toc121214251 \h </w:instrText>
            </w:r>
            <w:r w:rsidR="009E1B8B">
              <w:rPr>
                <w:noProof/>
                <w:webHidden/>
              </w:rPr>
            </w:r>
            <w:r w:rsidR="009E1B8B">
              <w:rPr>
                <w:noProof/>
                <w:webHidden/>
              </w:rPr>
              <w:fldChar w:fldCharType="separate"/>
            </w:r>
            <w:r w:rsidR="009E1B8B">
              <w:rPr>
                <w:noProof/>
                <w:webHidden/>
              </w:rPr>
              <w:t>15</w:t>
            </w:r>
            <w:r w:rsidR="009E1B8B">
              <w:rPr>
                <w:noProof/>
                <w:webHidden/>
              </w:rPr>
              <w:fldChar w:fldCharType="end"/>
            </w:r>
          </w:hyperlink>
        </w:p>
        <w:p w14:paraId="7F0F228C" w14:textId="33EF24E5" w:rsidR="009E1B8B" w:rsidRDefault="002B0482">
          <w:pPr>
            <w:pStyle w:val="Sommario3"/>
            <w:rPr>
              <w:rFonts w:eastAsiaTheme="minorEastAsia"/>
              <w:noProof/>
              <w:lang w:eastAsia="it-IT"/>
            </w:rPr>
          </w:pPr>
          <w:hyperlink w:anchor="_Toc121214252" w:history="1">
            <w:r w:rsidR="009E1B8B" w:rsidRPr="00851F5B">
              <w:rPr>
                <w:rStyle w:val="Collegamentoipertestuale"/>
                <w:rFonts w:ascii="Bookman Old Style" w:hAnsi="Bookman Old Style"/>
                <w:b/>
                <w:bCs/>
                <w:noProof/>
              </w:rPr>
              <w:t>9.</w:t>
            </w:r>
            <w:r w:rsidR="009E1B8B">
              <w:rPr>
                <w:rFonts w:eastAsiaTheme="minorEastAsia"/>
                <w:noProof/>
                <w:lang w:eastAsia="it-IT"/>
              </w:rPr>
              <w:tab/>
            </w:r>
            <w:r w:rsidR="009E1B8B" w:rsidRPr="00851F5B">
              <w:rPr>
                <w:rStyle w:val="Collegamentoipertestuale"/>
                <w:rFonts w:ascii="Bookman Old Style" w:hAnsi="Bookman Old Style"/>
                <w:b/>
                <w:bCs/>
                <w:noProof/>
              </w:rPr>
              <w:t>Canone unico-Rideterminazione canone per infrastrutture di comunicazione</w:t>
            </w:r>
            <w:r w:rsidR="009E1B8B" w:rsidRPr="00851F5B">
              <w:rPr>
                <w:rStyle w:val="Collegamentoipertestuale"/>
                <w:rFonts w:ascii="Times New Roman" w:hAnsi="Times New Roman" w:cs="Times New Roman"/>
                <w:b/>
                <w:bCs/>
                <w:noProof/>
              </w:rPr>
              <w:t>    </w:t>
            </w:r>
            <w:r w:rsidR="009E1B8B" w:rsidRPr="00851F5B">
              <w:rPr>
                <w:rStyle w:val="Collegamentoipertestuale"/>
                <w:rFonts w:ascii="Bookman Old Style" w:hAnsi="Bookman Old Style"/>
                <w:b/>
                <w:bCs/>
                <w:noProof/>
              </w:rPr>
              <w:t>**</w:t>
            </w:r>
            <w:r w:rsidR="009E1B8B">
              <w:rPr>
                <w:noProof/>
                <w:webHidden/>
              </w:rPr>
              <w:tab/>
            </w:r>
            <w:r w:rsidR="009E1B8B">
              <w:rPr>
                <w:noProof/>
                <w:webHidden/>
              </w:rPr>
              <w:fldChar w:fldCharType="begin"/>
            </w:r>
            <w:r w:rsidR="009E1B8B">
              <w:rPr>
                <w:noProof/>
                <w:webHidden/>
              </w:rPr>
              <w:instrText xml:space="preserve"> PAGEREF _Toc121214252 \h </w:instrText>
            </w:r>
            <w:r w:rsidR="009E1B8B">
              <w:rPr>
                <w:noProof/>
                <w:webHidden/>
              </w:rPr>
            </w:r>
            <w:r w:rsidR="009E1B8B">
              <w:rPr>
                <w:noProof/>
                <w:webHidden/>
              </w:rPr>
              <w:fldChar w:fldCharType="separate"/>
            </w:r>
            <w:r w:rsidR="009E1B8B">
              <w:rPr>
                <w:noProof/>
                <w:webHidden/>
              </w:rPr>
              <w:t>16</w:t>
            </w:r>
            <w:r w:rsidR="009E1B8B">
              <w:rPr>
                <w:noProof/>
                <w:webHidden/>
              </w:rPr>
              <w:fldChar w:fldCharType="end"/>
            </w:r>
          </w:hyperlink>
        </w:p>
        <w:p w14:paraId="02AD60AE" w14:textId="323BEB3D" w:rsidR="009E1B8B" w:rsidRDefault="002B0482">
          <w:pPr>
            <w:pStyle w:val="Sommario3"/>
            <w:rPr>
              <w:rFonts w:eastAsiaTheme="minorEastAsia"/>
              <w:noProof/>
              <w:lang w:eastAsia="it-IT"/>
            </w:rPr>
          </w:pPr>
          <w:hyperlink w:anchor="_Toc121214253" w:history="1">
            <w:r w:rsidR="009E1B8B" w:rsidRPr="00851F5B">
              <w:rPr>
                <w:rStyle w:val="Collegamentoipertestuale"/>
                <w:rFonts w:ascii="Bookman Old Style" w:hAnsi="Bookman Old Style"/>
                <w:b/>
                <w:bCs/>
                <w:noProof/>
              </w:rPr>
              <w:t>10.</w:t>
            </w:r>
            <w:r w:rsidR="009E1B8B">
              <w:rPr>
                <w:rFonts w:eastAsiaTheme="minorEastAsia"/>
                <w:noProof/>
                <w:lang w:eastAsia="it-IT"/>
              </w:rPr>
              <w:tab/>
            </w:r>
            <w:r w:rsidR="009E1B8B" w:rsidRPr="00851F5B">
              <w:rPr>
                <w:rStyle w:val="Collegamentoipertestuale"/>
                <w:rFonts w:ascii="Times New Roman" w:hAnsi="Times New Roman" w:cs="Times New Roman"/>
                <w:b/>
                <w:bCs/>
                <w:noProof/>
              </w:rPr>
              <w:t> </w:t>
            </w:r>
            <w:r w:rsidR="009E1B8B" w:rsidRPr="00851F5B">
              <w:rPr>
                <w:rStyle w:val="Collegamentoipertestuale"/>
                <w:rFonts w:ascii="Bookman Old Style" w:hAnsi="Bookman Old Style"/>
                <w:b/>
                <w:bCs/>
                <w:noProof/>
              </w:rPr>
              <w:t>Comandi e distacchi di personale **</w:t>
            </w:r>
            <w:r w:rsidR="009E1B8B">
              <w:rPr>
                <w:noProof/>
                <w:webHidden/>
              </w:rPr>
              <w:tab/>
            </w:r>
            <w:r w:rsidR="009E1B8B">
              <w:rPr>
                <w:noProof/>
                <w:webHidden/>
              </w:rPr>
              <w:fldChar w:fldCharType="begin"/>
            </w:r>
            <w:r w:rsidR="009E1B8B">
              <w:rPr>
                <w:noProof/>
                <w:webHidden/>
              </w:rPr>
              <w:instrText xml:space="preserve"> PAGEREF _Toc121214253 \h </w:instrText>
            </w:r>
            <w:r w:rsidR="009E1B8B">
              <w:rPr>
                <w:noProof/>
                <w:webHidden/>
              </w:rPr>
            </w:r>
            <w:r w:rsidR="009E1B8B">
              <w:rPr>
                <w:noProof/>
                <w:webHidden/>
              </w:rPr>
              <w:fldChar w:fldCharType="separate"/>
            </w:r>
            <w:r w:rsidR="009E1B8B">
              <w:rPr>
                <w:noProof/>
                <w:webHidden/>
              </w:rPr>
              <w:t>17</w:t>
            </w:r>
            <w:r w:rsidR="009E1B8B">
              <w:rPr>
                <w:noProof/>
                <w:webHidden/>
              </w:rPr>
              <w:fldChar w:fldCharType="end"/>
            </w:r>
          </w:hyperlink>
        </w:p>
        <w:p w14:paraId="5062A497" w14:textId="4C69AA4C" w:rsidR="009E1B8B" w:rsidRDefault="002B0482">
          <w:pPr>
            <w:pStyle w:val="Sommario3"/>
            <w:rPr>
              <w:rFonts w:eastAsiaTheme="minorEastAsia"/>
              <w:noProof/>
              <w:lang w:eastAsia="it-IT"/>
            </w:rPr>
          </w:pPr>
          <w:hyperlink w:anchor="_Toc121214254" w:history="1">
            <w:r w:rsidR="009E1B8B" w:rsidRPr="00851F5B">
              <w:rPr>
                <w:rStyle w:val="Collegamentoipertestuale"/>
                <w:rFonts w:ascii="Bookman Old Style" w:hAnsi="Bookman Old Style"/>
                <w:b/>
                <w:bCs/>
                <w:noProof/>
              </w:rPr>
              <w:t>11.</w:t>
            </w:r>
            <w:r w:rsidR="009E1B8B">
              <w:rPr>
                <w:rFonts w:eastAsiaTheme="minorEastAsia"/>
                <w:noProof/>
                <w:lang w:eastAsia="it-IT"/>
              </w:rPr>
              <w:tab/>
            </w:r>
            <w:r w:rsidR="009E1B8B" w:rsidRPr="00851F5B">
              <w:rPr>
                <w:rStyle w:val="Collegamentoipertestuale"/>
                <w:rFonts w:ascii="Bookman Old Style" w:hAnsi="Bookman Old Style"/>
                <w:b/>
                <w:bCs/>
                <w:noProof/>
              </w:rPr>
              <w:t>Assunzioni a tempo determinato per l’attuazione del PNRR per i Piccoli Comuni. **</w:t>
            </w:r>
            <w:r w:rsidR="009E1B8B">
              <w:rPr>
                <w:noProof/>
                <w:webHidden/>
              </w:rPr>
              <w:tab/>
            </w:r>
            <w:r w:rsidR="009E1B8B">
              <w:rPr>
                <w:noProof/>
                <w:webHidden/>
              </w:rPr>
              <w:fldChar w:fldCharType="begin"/>
            </w:r>
            <w:r w:rsidR="009E1B8B">
              <w:rPr>
                <w:noProof/>
                <w:webHidden/>
              </w:rPr>
              <w:instrText xml:space="preserve"> PAGEREF _Toc121214254 \h </w:instrText>
            </w:r>
            <w:r w:rsidR="009E1B8B">
              <w:rPr>
                <w:noProof/>
                <w:webHidden/>
              </w:rPr>
            </w:r>
            <w:r w:rsidR="009E1B8B">
              <w:rPr>
                <w:noProof/>
                <w:webHidden/>
              </w:rPr>
              <w:fldChar w:fldCharType="separate"/>
            </w:r>
            <w:r w:rsidR="009E1B8B">
              <w:rPr>
                <w:noProof/>
                <w:webHidden/>
              </w:rPr>
              <w:t>17</w:t>
            </w:r>
            <w:r w:rsidR="009E1B8B">
              <w:rPr>
                <w:noProof/>
                <w:webHidden/>
              </w:rPr>
              <w:fldChar w:fldCharType="end"/>
            </w:r>
          </w:hyperlink>
        </w:p>
        <w:p w14:paraId="7351033B" w14:textId="5569623B" w:rsidR="009E1B8B" w:rsidRDefault="002B0482">
          <w:pPr>
            <w:pStyle w:val="Sommario3"/>
            <w:rPr>
              <w:rFonts w:eastAsiaTheme="minorEastAsia"/>
              <w:noProof/>
              <w:lang w:eastAsia="it-IT"/>
            </w:rPr>
          </w:pPr>
          <w:hyperlink w:anchor="_Toc121214255" w:history="1">
            <w:r w:rsidR="009E1B8B" w:rsidRPr="00851F5B">
              <w:rPr>
                <w:rStyle w:val="Collegamentoipertestuale"/>
                <w:rFonts w:ascii="Bookman Old Style" w:hAnsi="Bookman Old Style"/>
                <w:b/>
                <w:bCs/>
                <w:noProof/>
              </w:rPr>
              <w:t>12.</w:t>
            </w:r>
            <w:r w:rsidR="009E1B8B">
              <w:rPr>
                <w:rFonts w:eastAsiaTheme="minorEastAsia"/>
                <w:noProof/>
                <w:lang w:eastAsia="it-IT"/>
              </w:rPr>
              <w:tab/>
            </w:r>
            <w:r w:rsidR="009E1B8B" w:rsidRPr="00851F5B">
              <w:rPr>
                <w:rStyle w:val="Collegamentoipertestuale"/>
                <w:rFonts w:ascii="Bookman Old Style" w:hAnsi="Bookman Old Style"/>
                <w:b/>
                <w:bCs/>
                <w:noProof/>
              </w:rPr>
              <w:t>Assunzioni di personale negli enti in riequilibrio finanziario pluriennale e in dissesto.**</w:t>
            </w:r>
            <w:r w:rsidR="009E1B8B">
              <w:rPr>
                <w:noProof/>
                <w:webHidden/>
              </w:rPr>
              <w:tab/>
            </w:r>
            <w:r w:rsidR="009E1B8B">
              <w:rPr>
                <w:noProof/>
                <w:webHidden/>
              </w:rPr>
              <w:fldChar w:fldCharType="begin"/>
            </w:r>
            <w:r w:rsidR="009E1B8B">
              <w:rPr>
                <w:noProof/>
                <w:webHidden/>
              </w:rPr>
              <w:instrText xml:space="preserve"> PAGEREF _Toc121214255 \h </w:instrText>
            </w:r>
            <w:r w:rsidR="009E1B8B">
              <w:rPr>
                <w:noProof/>
                <w:webHidden/>
              </w:rPr>
            </w:r>
            <w:r w:rsidR="009E1B8B">
              <w:rPr>
                <w:noProof/>
                <w:webHidden/>
              </w:rPr>
              <w:fldChar w:fldCharType="separate"/>
            </w:r>
            <w:r w:rsidR="009E1B8B">
              <w:rPr>
                <w:noProof/>
                <w:webHidden/>
              </w:rPr>
              <w:t>18</w:t>
            </w:r>
            <w:r w:rsidR="009E1B8B">
              <w:rPr>
                <w:noProof/>
                <w:webHidden/>
              </w:rPr>
              <w:fldChar w:fldCharType="end"/>
            </w:r>
          </w:hyperlink>
        </w:p>
        <w:p w14:paraId="05F5DF21" w14:textId="217B091E" w:rsidR="009E1B8B" w:rsidRDefault="002B0482">
          <w:pPr>
            <w:pStyle w:val="Sommario3"/>
            <w:rPr>
              <w:rFonts w:eastAsiaTheme="minorEastAsia"/>
              <w:noProof/>
              <w:lang w:eastAsia="it-IT"/>
            </w:rPr>
          </w:pPr>
          <w:hyperlink w:anchor="_Toc121214256" w:history="1">
            <w:r w:rsidR="009E1B8B" w:rsidRPr="00851F5B">
              <w:rPr>
                <w:rStyle w:val="Collegamentoipertestuale"/>
                <w:rFonts w:ascii="Bookman Old Style" w:hAnsi="Bookman Old Style"/>
                <w:b/>
                <w:bCs/>
                <w:noProof/>
              </w:rPr>
              <w:t>13.</w:t>
            </w:r>
            <w:r w:rsidR="009E1B8B">
              <w:rPr>
                <w:rFonts w:eastAsiaTheme="minorEastAsia"/>
                <w:noProof/>
                <w:lang w:eastAsia="it-IT"/>
              </w:rPr>
              <w:tab/>
            </w:r>
            <w:r w:rsidR="009E1B8B" w:rsidRPr="00851F5B">
              <w:rPr>
                <w:rStyle w:val="Collegamentoipertestuale"/>
                <w:rFonts w:ascii="Bookman Old Style" w:hAnsi="Bookman Old Style"/>
                <w:b/>
                <w:bCs/>
                <w:noProof/>
              </w:rPr>
              <w:t>Trasporto pubblico locale e trasporto rapido di massa (Art. 81) **</w:t>
            </w:r>
            <w:r w:rsidR="009E1B8B">
              <w:rPr>
                <w:noProof/>
                <w:webHidden/>
              </w:rPr>
              <w:tab/>
            </w:r>
            <w:r w:rsidR="009E1B8B">
              <w:rPr>
                <w:noProof/>
                <w:webHidden/>
              </w:rPr>
              <w:fldChar w:fldCharType="begin"/>
            </w:r>
            <w:r w:rsidR="009E1B8B">
              <w:rPr>
                <w:noProof/>
                <w:webHidden/>
              </w:rPr>
              <w:instrText xml:space="preserve"> PAGEREF _Toc121214256 \h </w:instrText>
            </w:r>
            <w:r w:rsidR="009E1B8B">
              <w:rPr>
                <w:noProof/>
                <w:webHidden/>
              </w:rPr>
            </w:r>
            <w:r w:rsidR="009E1B8B">
              <w:rPr>
                <w:noProof/>
                <w:webHidden/>
              </w:rPr>
              <w:fldChar w:fldCharType="separate"/>
            </w:r>
            <w:r w:rsidR="009E1B8B">
              <w:rPr>
                <w:noProof/>
                <w:webHidden/>
              </w:rPr>
              <w:t>19</w:t>
            </w:r>
            <w:r w:rsidR="009E1B8B">
              <w:rPr>
                <w:noProof/>
                <w:webHidden/>
              </w:rPr>
              <w:fldChar w:fldCharType="end"/>
            </w:r>
          </w:hyperlink>
        </w:p>
        <w:p w14:paraId="447DAFA8" w14:textId="14EF3789" w:rsidR="009E1B8B" w:rsidRDefault="002B0482">
          <w:pPr>
            <w:pStyle w:val="Sommario3"/>
            <w:rPr>
              <w:rFonts w:eastAsiaTheme="minorEastAsia"/>
              <w:noProof/>
              <w:lang w:eastAsia="it-IT"/>
            </w:rPr>
          </w:pPr>
          <w:hyperlink w:anchor="_Toc121214257" w:history="1">
            <w:r w:rsidR="009E1B8B" w:rsidRPr="00851F5B">
              <w:rPr>
                <w:rStyle w:val="Collegamentoipertestuale"/>
                <w:rFonts w:ascii="Bookman Old Style" w:hAnsi="Bookman Old Style"/>
                <w:b/>
                <w:bCs/>
                <w:noProof/>
              </w:rPr>
              <w:t>14.</w:t>
            </w:r>
            <w:r w:rsidR="009E1B8B">
              <w:rPr>
                <w:rFonts w:eastAsiaTheme="minorEastAsia"/>
                <w:noProof/>
                <w:lang w:eastAsia="it-IT"/>
              </w:rPr>
              <w:tab/>
            </w:r>
            <w:r w:rsidR="009E1B8B" w:rsidRPr="00851F5B">
              <w:rPr>
                <w:rStyle w:val="Collegamentoipertestuale"/>
                <w:rFonts w:ascii="Bookman Old Style" w:hAnsi="Bookman Old Style"/>
                <w:b/>
                <w:bCs/>
                <w:noProof/>
              </w:rPr>
              <w:t>Mitigazione degli effetti sui bilanci degli enti locali delle perdite delle società partecipate **</w:t>
            </w:r>
            <w:r w:rsidR="009E1B8B">
              <w:rPr>
                <w:noProof/>
                <w:webHidden/>
              </w:rPr>
              <w:tab/>
            </w:r>
            <w:r w:rsidR="009E1B8B">
              <w:rPr>
                <w:noProof/>
                <w:webHidden/>
              </w:rPr>
              <w:fldChar w:fldCharType="begin"/>
            </w:r>
            <w:r w:rsidR="009E1B8B">
              <w:rPr>
                <w:noProof/>
                <w:webHidden/>
              </w:rPr>
              <w:instrText xml:space="preserve"> PAGEREF _Toc121214257 \h </w:instrText>
            </w:r>
            <w:r w:rsidR="009E1B8B">
              <w:rPr>
                <w:noProof/>
                <w:webHidden/>
              </w:rPr>
            </w:r>
            <w:r w:rsidR="009E1B8B">
              <w:rPr>
                <w:noProof/>
                <w:webHidden/>
              </w:rPr>
              <w:fldChar w:fldCharType="separate"/>
            </w:r>
            <w:r w:rsidR="009E1B8B">
              <w:rPr>
                <w:noProof/>
                <w:webHidden/>
              </w:rPr>
              <w:t>19</w:t>
            </w:r>
            <w:r w:rsidR="009E1B8B">
              <w:rPr>
                <w:noProof/>
                <w:webHidden/>
              </w:rPr>
              <w:fldChar w:fldCharType="end"/>
            </w:r>
          </w:hyperlink>
        </w:p>
        <w:p w14:paraId="24C8A27D" w14:textId="316EDBB3" w:rsidR="009E1B8B" w:rsidRDefault="002B0482">
          <w:pPr>
            <w:pStyle w:val="Sommario3"/>
            <w:rPr>
              <w:rFonts w:eastAsiaTheme="minorEastAsia"/>
              <w:noProof/>
              <w:lang w:eastAsia="it-IT"/>
            </w:rPr>
          </w:pPr>
          <w:hyperlink w:anchor="_Toc121214258" w:history="1">
            <w:r w:rsidR="009E1B8B" w:rsidRPr="00851F5B">
              <w:rPr>
                <w:rStyle w:val="Collegamentoipertestuale"/>
                <w:rFonts w:ascii="Bookman Old Style" w:hAnsi="Bookman Old Style"/>
                <w:b/>
                <w:bCs/>
                <w:noProof/>
              </w:rPr>
              <w:t>15.</w:t>
            </w:r>
            <w:r w:rsidR="009E1B8B">
              <w:rPr>
                <w:rFonts w:eastAsiaTheme="minorEastAsia"/>
                <w:noProof/>
                <w:lang w:eastAsia="it-IT"/>
              </w:rPr>
              <w:tab/>
            </w:r>
            <w:r w:rsidR="009E1B8B" w:rsidRPr="00851F5B">
              <w:rPr>
                <w:rStyle w:val="Collegamentoipertestuale"/>
                <w:rFonts w:ascii="Bookman Old Style" w:hAnsi="Bookman Old Style"/>
                <w:b/>
                <w:bCs/>
                <w:noProof/>
              </w:rPr>
              <w:t>Fondo Unico Politiche Sociali**</w:t>
            </w:r>
            <w:r w:rsidR="009E1B8B">
              <w:rPr>
                <w:noProof/>
                <w:webHidden/>
              </w:rPr>
              <w:tab/>
            </w:r>
            <w:r w:rsidR="009E1B8B">
              <w:rPr>
                <w:noProof/>
                <w:webHidden/>
              </w:rPr>
              <w:fldChar w:fldCharType="begin"/>
            </w:r>
            <w:r w:rsidR="009E1B8B">
              <w:rPr>
                <w:noProof/>
                <w:webHidden/>
              </w:rPr>
              <w:instrText xml:space="preserve"> PAGEREF _Toc121214258 \h </w:instrText>
            </w:r>
            <w:r w:rsidR="009E1B8B">
              <w:rPr>
                <w:noProof/>
                <w:webHidden/>
              </w:rPr>
            </w:r>
            <w:r w:rsidR="009E1B8B">
              <w:rPr>
                <w:noProof/>
                <w:webHidden/>
              </w:rPr>
              <w:fldChar w:fldCharType="separate"/>
            </w:r>
            <w:r w:rsidR="009E1B8B">
              <w:rPr>
                <w:noProof/>
                <w:webHidden/>
              </w:rPr>
              <w:t>20</w:t>
            </w:r>
            <w:r w:rsidR="009E1B8B">
              <w:rPr>
                <w:noProof/>
                <w:webHidden/>
              </w:rPr>
              <w:fldChar w:fldCharType="end"/>
            </w:r>
          </w:hyperlink>
        </w:p>
        <w:p w14:paraId="400E62D0" w14:textId="5F7E5CED" w:rsidR="009E1B8B" w:rsidRDefault="002B0482">
          <w:pPr>
            <w:pStyle w:val="Sommario3"/>
            <w:rPr>
              <w:rFonts w:eastAsiaTheme="minorEastAsia"/>
              <w:noProof/>
              <w:lang w:eastAsia="it-IT"/>
            </w:rPr>
          </w:pPr>
          <w:hyperlink w:anchor="_Toc121214259" w:history="1">
            <w:r w:rsidR="009E1B8B" w:rsidRPr="00851F5B">
              <w:rPr>
                <w:rStyle w:val="Collegamentoipertestuale"/>
                <w:rFonts w:ascii="Bookman Old Style" w:hAnsi="Bookman Old Style"/>
                <w:b/>
                <w:bCs/>
                <w:noProof/>
              </w:rPr>
              <w:t>16.</w:t>
            </w:r>
            <w:r w:rsidR="009E1B8B">
              <w:rPr>
                <w:rFonts w:eastAsiaTheme="minorEastAsia"/>
                <w:noProof/>
                <w:lang w:eastAsia="it-IT"/>
              </w:rPr>
              <w:tab/>
            </w:r>
            <w:r w:rsidR="009E1B8B" w:rsidRPr="00851F5B">
              <w:rPr>
                <w:rStyle w:val="Collegamentoipertestuale"/>
                <w:rFonts w:ascii="Bookman Old Style" w:hAnsi="Bookman Old Style"/>
                <w:b/>
                <w:bCs/>
                <w:noProof/>
              </w:rPr>
              <w:t>Fondo nazionale sicurezza urbana **</w:t>
            </w:r>
            <w:r w:rsidR="009E1B8B">
              <w:rPr>
                <w:noProof/>
                <w:webHidden/>
              </w:rPr>
              <w:tab/>
            </w:r>
            <w:r w:rsidR="009E1B8B">
              <w:rPr>
                <w:noProof/>
                <w:webHidden/>
              </w:rPr>
              <w:fldChar w:fldCharType="begin"/>
            </w:r>
            <w:r w:rsidR="009E1B8B">
              <w:rPr>
                <w:noProof/>
                <w:webHidden/>
              </w:rPr>
              <w:instrText xml:space="preserve"> PAGEREF _Toc121214259 \h </w:instrText>
            </w:r>
            <w:r w:rsidR="009E1B8B">
              <w:rPr>
                <w:noProof/>
                <w:webHidden/>
              </w:rPr>
            </w:r>
            <w:r w:rsidR="009E1B8B">
              <w:rPr>
                <w:noProof/>
                <w:webHidden/>
              </w:rPr>
              <w:fldChar w:fldCharType="separate"/>
            </w:r>
            <w:r w:rsidR="009E1B8B">
              <w:rPr>
                <w:noProof/>
                <w:webHidden/>
              </w:rPr>
              <w:t>20</w:t>
            </w:r>
            <w:r w:rsidR="009E1B8B">
              <w:rPr>
                <w:noProof/>
                <w:webHidden/>
              </w:rPr>
              <w:fldChar w:fldCharType="end"/>
            </w:r>
          </w:hyperlink>
        </w:p>
        <w:p w14:paraId="02F19165" w14:textId="0DBC8104" w:rsidR="009E1B8B" w:rsidRDefault="002B0482">
          <w:pPr>
            <w:pStyle w:val="Sommario3"/>
            <w:rPr>
              <w:rFonts w:eastAsiaTheme="minorEastAsia"/>
              <w:noProof/>
              <w:lang w:eastAsia="it-IT"/>
            </w:rPr>
          </w:pPr>
          <w:hyperlink w:anchor="_Toc121214260" w:history="1">
            <w:r w:rsidR="009E1B8B" w:rsidRPr="00851F5B">
              <w:rPr>
                <w:rStyle w:val="Collegamentoipertestuale"/>
                <w:rFonts w:ascii="Bookman Old Style" w:hAnsi="Bookman Old Style"/>
                <w:b/>
                <w:bCs/>
                <w:noProof/>
              </w:rPr>
              <w:t>17.</w:t>
            </w:r>
            <w:r w:rsidR="009E1B8B">
              <w:rPr>
                <w:rFonts w:eastAsiaTheme="minorEastAsia"/>
                <w:noProof/>
                <w:lang w:eastAsia="it-IT"/>
              </w:rPr>
              <w:tab/>
            </w:r>
            <w:r w:rsidR="009E1B8B" w:rsidRPr="00851F5B">
              <w:rPr>
                <w:rStyle w:val="Collegamentoipertestuale"/>
                <w:rFonts w:ascii="Bookman Old Style" w:hAnsi="Bookman Old Style"/>
                <w:b/>
                <w:bCs/>
                <w:noProof/>
              </w:rPr>
              <w:t>Assunzioni personale polizia locale **</w:t>
            </w:r>
            <w:r w:rsidR="009E1B8B">
              <w:rPr>
                <w:noProof/>
                <w:webHidden/>
              </w:rPr>
              <w:tab/>
            </w:r>
            <w:r w:rsidR="009E1B8B">
              <w:rPr>
                <w:noProof/>
                <w:webHidden/>
              </w:rPr>
              <w:fldChar w:fldCharType="begin"/>
            </w:r>
            <w:r w:rsidR="009E1B8B">
              <w:rPr>
                <w:noProof/>
                <w:webHidden/>
              </w:rPr>
              <w:instrText xml:space="preserve"> PAGEREF _Toc121214260 \h </w:instrText>
            </w:r>
            <w:r w:rsidR="009E1B8B">
              <w:rPr>
                <w:noProof/>
                <w:webHidden/>
              </w:rPr>
            </w:r>
            <w:r w:rsidR="009E1B8B">
              <w:rPr>
                <w:noProof/>
                <w:webHidden/>
              </w:rPr>
              <w:fldChar w:fldCharType="separate"/>
            </w:r>
            <w:r w:rsidR="009E1B8B">
              <w:rPr>
                <w:noProof/>
                <w:webHidden/>
              </w:rPr>
              <w:t>21</w:t>
            </w:r>
            <w:r w:rsidR="009E1B8B">
              <w:rPr>
                <w:noProof/>
                <w:webHidden/>
              </w:rPr>
              <w:fldChar w:fldCharType="end"/>
            </w:r>
          </w:hyperlink>
        </w:p>
        <w:p w14:paraId="08637C47" w14:textId="7828EB36" w:rsidR="009E1B8B" w:rsidRDefault="002B0482">
          <w:pPr>
            <w:pStyle w:val="Sommario3"/>
            <w:rPr>
              <w:rFonts w:eastAsiaTheme="minorEastAsia"/>
              <w:noProof/>
              <w:lang w:eastAsia="it-IT"/>
            </w:rPr>
          </w:pPr>
          <w:hyperlink w:anchor="_Toc121214261" w:history="1">
            <w:r w:rsidR="009E1B8B" w:rsidRPr="00851F5B">
              <w:rPr>
                <w:rStyle w:val="Collegamentoipertestuale"/>
                <w:rFonts w:ascii="Bookman Old Style" w:hAnsi="Bookman Old Style"/>
                <w:b/>
                <w:bCs/>
                <w:noProof/>
              </w:rPr>
              <w:t>18.</w:t>
            </w:r>
            <w:r w:rsidR="009E1B8B">
              <w:rPr>
                <w:rFonts w:eastAsiaTheme="minorEastAsia"/>
                <w:noProof/>
                <w:lang w:eastAsia="it-IT"/>
              </w:rPr>
              <w:tab/>
            </w:r>
            <w:r w:rsidR="009E1B8B" w:rsidRPr="00851F5B">
              <w:rPr>
                <w:rStyle w:val="Collegamentoipertestuale"/>
                <w:rFonts w:ascii="Bookman Old Style" w:hAnsi="Bookman Old Style"/>
                <w:b/>
                <w:bCs/>
                <w:noProof/>
              </w:rPr>
              <w:t>Estensione</w:t>
            </w:r>
            <w:r w:rsidR="009E1B8B" w:rsidRPr="00851F5B">
              <w:rPr>
                <w:rStyle w:val="Collegamentoipertestuale"/>
                <w:rFonts w:ascii="Bookman Old Style" w:hAnsi="Bookman Old Style" w:cs="Bookman Old Style"/>
                <w:b/>
                <w:bCs/>
                <w:noProof/>
                <w:lang w:eastAsia="it-IT"/>
              </w:rPr>
              <w:t xml:space="preserve"> riduzione IVA a fronte di maggiori costi del teleriscaldamento (art.4)**</w:t>
            </w:r>
            <w:r w:rsidR="009E1B8B">
              <w:rPr>
                <w:noProof/>
                <w:webHidden/>
              </w:rPr>
              <w:tab/>
            </w:r>
            <w:r w:rsidR="009E1B8B">
              <w:rPr>
                <w:noProof/>
                <w:webHidden/>
              </w:rPr>
              <w:fldChar w:fldCharType="begin"/>
            </w:r>
            <w:r w:rsidR="009E1B8B">
              <w:rPr>
                <w:noProof/>
                <w:webHidden/>
              </w:rPr>
              <w:instrText xml:space="preserve"> PAGEREF _Toc121214261 \h </w:instrText>
            </w:r>
            <w:r w:rsidR="009E1B8B">
              <w:rPr>
                <w:noProof/>
                <w:webHidden/>
              </w:rPr>
            </w:r>
            <w:r w:rsidR="009E1B8B">
              <w:rPr>
                <w:noProof/>
                <w:webHidden/>
              </w:rPr>
              <w:fldChar w:fldCharType="separate"/>
            </w:r>
            <w:r w:rsidR="009E1B8B">
              <w:rPr>
                <w:noProof/>
                <w:webHidden/>
              </w:rPr>
              <w:t>23</w:t>
            </w:r>
            <w:r w:rsidR="009E1B8B">
              <w:rPr>
                <w:noProof/>
                <w:webHidden/>
              </w:rPr>
              <w:fldChar w:fldCharType="end"/>
            </w:r>
          </w:hyperlink>
        </w:p>
        <w:p w14:paraId="6BA36631" w14:textId="12E66ACD" w:rsidR="009E1B8B" w:rsidRDefault="002B0482">
          <w:pPr>
            <w:pStyle w:val="Sommario3"/>
            <w:rPr>
              <w:rFonts w:eastAsiaTheme="minorEastAsia"/>
              <w:noProof/>
              <w:lang w:eastAsia="it-IT"/>
            </w:rPr>
          </w:pPr>
          <w:hyperlink w:anchor="_Toc121214262" w:history="1">
            <w:r w:rsidR="009E1B8B" w:rsidRPr="00851F5B">
              <w:rPr>
                <w:rStyle w:val="Collegamentoipertestuale"/>
                <w:rFonts w:ascii="Bookman Old Style" w:hAnsi="Bookman Old Style" w:cs="Bookman Old Style"/>
                <w:b/>
                <w:bCs/>
                <w:noProof/>
                <w:lang w:eastAsia="it-IT"/>
              </w:rPr>
              <w:t>19.</w:t>
            </w:r>
            <w:r w:rsidR="009E1B8B">
              <w:rPr>
                <w:rFonts w:eastAsiaTheme="minorEastAsia"/>
                <w:noProof/>
                <w:lang w:eastAsia="it-IT"/>
              </w:rPr>
              <w:tab/>
            </w:r>
            <w:r w:rsidR="009E1B8B" w:rsidRPr="00851F5B">
              <w:rPr>
                <w:rStyle w:val="Collegamentoipertestuale"/>
                <w:rFonts w:ascii="Bookman Old Style" w:hAnsi="Bookman Old Style"/>
                <w:b/>
                <w:bCs/>
                <w:noProof/>
              </w:rPr>
              <w:t>Estensione</w:t>
            </w:r>
            <w:r w:rsidR="009E1B8B" w:rsidRPr="00851F5B">
              <w:rPr>
                <w:rStyle w:val="Collegamentoipertestuale"/>
                <w:rFonts w:ascii="Bookman Old Style" w:hAnsi="Bookman Old Style" w:cs="Bookman Old Style"/>
                <w:b/>
                <w:bCs/>
                <w:noProof/>
                <w:lang w:eastAsia="it-IT"/>
              </w:rPr>
              <w:t xml:space="preserve"> bonus sociali a fronte di maggiori costi del teleriscaldamento (art.5)**</w:t>
            </w:r>
            <w:r w:rsidR="009E1B8B">
              <w:rPr>
                <w:noProof/>
                <w:webHidden/>
              </w:rPr>
              <w:tab/>
            </w:r>
            <w:r w:rsidR="009E1B8B">
              <w:rPr>
                <w:noProof/>
                <w:webHidden/>
              </w:rPr>
              <w:fldChar w:fldCharType="begin"/>
            </w:r>
            <w:r w:rsidR="009E1B8B">
              <w:rPr>
                <w:noProof/>
                <w:webHidden/>
              </w:rPr>
              <w:instrText xml:space="preserve"> PAGEREF _Toc121214262 \h </w:instrText>
            </w:r>
            <w:r w:rsidR="009E1B8B">
              <w:rPr>
                <w:noProof/>
                <w:webHidden/>
              </w:rPr>
            </w:r>
            <w:r w:rsidR="009E1B8B">
              <w:rPr>
                <w:noProof/>
                <w:webHidden/>
              </w:rPr>
              <w:fldChar w:fldCharType="separate"/>
            </w:r>
            <w:r w:rsidR="009E1B8B">
              <w:rPr>
                <w:noProof/>
                <w:webHidden/>
              </w:rPr>
              <w:t>24</w:t>
            </w:r>
            <w:r w:rsidR="009E1B8B">
              <w:rPr>
                <w:noProof/>
                <w:webHidden/>
              </w:rPr>
              <w:fldChar w:fldCharType="end"/>
            </w:r>
          </w:hyperlink>
        </w:p>
        <w:p w14:paraId="769451AF" w14:textId="1507ECEB" w:rsidR="009E1B8B" w:rsidRDefault="002B0482">
          <w:pPr>
            <w:pStyle w:val="Sommario3"/>
            <w:rPr>
              <w:rFonts w:eastAsiaTheme="minorEastAsia"/>
              <w:noProof/>
              <w:lang w:eastAsia="it-IT"/>
            </w:rPr>
          </w:pPr>
          <w:hyperlink w:anchor="_Toc121214263" w:history="1">
            <w:r w:rsidR="009E1B8B" w:rsidRPr="00851F5B">
              <w:rPr>
                <w:rStyle w:val="Collegamentoipertestuale"/>
                <w:rFonts w:ascii="Bookman Old Style" w:hAnsi="Bookman Old Style"/>
                <w:b/>
                <w:bCs/>
                <w:noProof/>
              </w:rPr>
              <w:t>20.</w:t>
            </w:r>
            <w:r w:rsidR="009E1B8B">
              <w:rPr>
                <w:rFonts w:eastAsiaTheme="minorEastAsia"/>
                <w:noProof/>
                <w:lang w:eastAsia="it-IT"/>
              </w:rPr>
              <w:tab/>
            </w:r>
            <w:r w:rsidR="009E1B8B" w:rsidRPr="00851F5B">
              <w:rPr>
                <w:rStyle w:val="Collegamentoipertestuale"/>
                <w:rFonts w:ascii="Bookman Old Style" w:hAnsi="Bookman Old Style"/>
                <w:b/>
                <w:bCs/>
                <w:noProof/>
              </w:rPr>
              <w:t>Disposizioni in materia di autoconsumo e autoproduzione di energia rinnovabile sui territori **</w:t>
            </w:r>
            <w:r w:rsidR="009E1B8B">
              <w:rPr>
                <w:noProof/>
                <w:webHidden/>
              </w:rPr>
              <w:tab/>
            </w:r>
            <w:r w:rsidR="009E1B8B">
              <w:rPr>
                <w:noProof/>
                <w:webHidden/>
              </w:rPr>
              <w:fldChar w:fldCharType="begin"/>
            </w:r>
            <w:r w:rsidR="009E1B8B">
              <w:rPr>
                <w:noProof/>
                <w:webHidden/>
              </w:rPr>
              <w:instrText xml:space="preserve"> PAGEREF _Toc121214263 \h </w:instrText>
            </w:r>
            <w:r w:rsidR="009E1B8B">
              <w:rPr>
                <w:noProof/>
                <w:webHidden/>
              </w:rPr>
            </w:r>
            <w:r w:rsidR="009E1B8B">
              <w:rPr>
                <w:noProof/>
                <w:webHidden/>
              </w:rPr>
              <w:fldChar w:fldCharType="separate"/>
            </w:r>
            <w:r w:rsidR="009E1B8B">
              <w:rPr>
                <w:noProof/>
                <w:webHidden/>
              </w:rPr>
              <w:t>25</w:t>
            </w:r>
            <w:r w:rsidR="009E1B8B">
              <w:rPr>
                <w:noProof/>
                <w:webHidden/>
              </w:rPr>
              <w:fldChar w:fldCharType="end"/>
            </w:r>
          </w:hyperlink>
        </w:p>
        <w:p w14:paraId="330EAD39" w14:textId="75B99159" w:rsidR="009E1B8B" w:rsidRDefault="002B0482">
          <w:pPr>
            <w:pStyle w:val="Sommario3"/>
            <w:rPr>
              <w:rFonts w:eastAsiaTheme="minorEastAsia"/>
              <w:noProof/>
              <w:lang w:eastAsia="it-IT"/>
            </w:rPr>
          </w:pPr>
          <w:hyperlink w:anchor="_Toc121214264" w:history="1">
            <w:r w:rsidR="009E1B8B" w:rsidRPr="00851F5B">
              <w:rPr>
                <w:rStyle w:val="Collegamentoipertestuale"/>
                <w:rFonts w:ascii="Bookman Old Style" w:hAnsi="Bookman Old Style"/>
                <w:b/>
                <w:bCs/>
                <w:noProof/>
              </w:rPr>
              <w:t>ALTRE NORME</w:t>
            </w:r>
            <w:r w:rsidR="009E1B8B">
              <w:rPr>
                <w:noProof/>
                <w:webHidden/>
              </w:rPr>
              <w:tab/>
            </w:r>
            <w:r w:rsidR="009E1B8B">
              <w:rPr>
                <w:noProof/>
                <w:webHidden/>
              </w:rPr>
              <w:fldChar w:fldCharType="begin"/>
            </w:r>
            <w:r w:rsidR="009E1B8B">
              <w:rPr>
                <w:noProof/>
                <w:webHidden/>
              </w:rPr>
              <w:instrText xml:space="preserve"> PAGEREF _Toc121214264 \h </w:instrText>
            </w:r>
            <w:r w:rsidR="009E1B8B">
              <w:rPr>
                <w:noProof/>
                <w:webHidden/>
              </w:rPr>
            </w:r>
            <w:r w:rsidR="009E1B8B">
              <w:rPr>
                <w:noProof/>
                <w:webHidden/>
              </w:rPr>
              <w:fldChar w:fldCharType="separate"/>
            </w:r>
            <w:r w:rsidR="009E1B8B">
              <w:rPr>
                <w:noProof/>
                <w:webHidden/>
              </w:rPr>
              <w:t>26</w:t>
            </w:r>
            <w:r w:rsidR="009E1B8B">
              <w:rPr>
                <w:noProof/>
                <w:webHidden/>
              </w:rPr>
              <w:fldChar w:fldCharType="end"/>
            </w:r>
          </w:hyperlink>
        </w:p>
        <w:p w14:paraId="551826EB" w14:textId="6A5C5EAC" w:rsidR="009E1B8B" w:rsidRDefault="002B0482">
          <w:pPr>
            <w:pStyle w:val="Sommario3"/>
            <w:rPr>
              <w:rFonts w:eastAsiaTheme="minorEastAsia"/>
              <w:noProof/>
              <w:lang w:eastAsia="it-IT"/>
            </w:rPr>
          </w:pPr>
          <w:hyperlink w:anchor="_Toc121214265" w:history="1">
            <w:r w:rsidR="009E1B8B" w:rsidRPr="00851F5B">
              <w:rPr>
                <w:rStyle w:val="Collegamentoipertestuale"/>
                <w:rFonts w:ascii="Bookman Old Style" w:hAnsi="Bookman Old Style"/>
                <w:b/>
                <w:bCs/>
                <w:noProof/>
              </w:rPr>
              <w:t>FINANZA LOCALE</w:t>
            </w:r>
            <w:r w:rsidR="009E1B8B">
              <w:rPr>
                <w:noProof/>
                <w:webHidden/>
              </w:rPr>
              <w:tab/>
            </w:r>
            <w:r w:rsidR="009E1B8B">
              <w:rPr>
                <w:noProof/>
                <w:webHidden/>
              </w:rPr>
              <w:fldChar w:fldCharType="begin"/>
            </w:r>
            <w:r w:rsidR="009E1B8B">
              <w:rPr>
                <w:noProof/>
                <w:webHidden/>
              </w:rPr>
              <w:instrText xml:space="preserve"> PAGEREF _Toc121214265 \h </w:instrText>
            </w:r>
            <w:r w:rsidR="009E1B8B">
              <w:rPr>
                <w:noProof/>
                <w:webHidden/>
              </w:rPr>
            </w:r>
            <w:r w:rsidR="009E1B8B">
              <w:rPr>
                <w:noProof/>
                <w:webHidden/>
              </w:rPr>
              <w:fldChar w:fldCharType="separate"/>
            </w:r>
            <w:r w:rsidR="009E1B8B">
              <w:rPr>
                <w:noProof/>
                <w:webHidden/>
              </w:rPr>
              <w:t>26</w:t>
            </w:r>
            <w:r w:rsidR="009E1B8B">
              <w:rPr>
                <w:noProof/>
                <w:webHidden/>
              </w:rPr>
              <w:fldChar w:fldCharType="end"/>
            </w:r>
          </w:hyperlink>
        </w:p>
        <w:p w14:paraId="1A99DC97" w14:textId="386A2006" w:rsidR="009E1B8B" w:rsidRDefault="002B0482">
          <w:pPr>
            <w:pStyle w:val="Sommario3"/>
            <w:rPr>
              <w:rFonts w:eastAsiaTheme="minorEastAsia"/>
              <w:noProof/>
              <w:lang w:eastAsia="it-IT"/>
            </w:rPr>
          </w:pPr>
          <w:hyperlink w:anchor="_Toc121214266" w:history="1">
            <w:r w:rsidR="009E1B8B" w:rsidRPr="00851F5B">
              <w:rPr>
                <w:rStyle w:val="Collegamentoipertestuale"/>
                <w:rFonts w:ascii="Bookman Old Style" w:hAnsi="Bookman Old Style"/>
                <w:b/>
                <w:bCs/>
                <w:noProof/>
              </w:rPr>
              <w:t>21.</w:t>
            </w:r>
            <w:r w:rsidR="009E1B8B">
              <w:rPr>
                <w:rFonts w:eastAsiaTheme="minorEastAsia"/>
                <w:noProof/>
                <w:lang w:eastAsia="it-IT"/>
              </w:rPr>
              <w:tab/>
            </w:r>
            <w:r w:rsidR="009E1B8B" w:rsidRPr="00851F5B">
              <w:rPr>
                <w:rStyle w:val="Collegamentoipertestuale"/>
                <w:rFonts w:ascii="Bookman Old Style" w:hAnsi="Bookman Old Style"/>
                <w:b/>
                <w:bCs/>
                <w:noProof/>
              </w:rPr>
              <w:t>Fondo per le periferie inclusive (Art. 67)</w:t>
            </w:r>
            <w:r w:rsidR="009E1B8B">
              <w:rPr>
                <w:noProof/>
                <w:webHidden/>
              </w:rPr>
              <w:tab/>
            </w:r>
            <w:r w:rsidR="009E1B8B">
              <w:rPr>
                <w:noProof/>
                <w:webHidden/>
              </w:rPr>
              <w:fldChar w:fldCharType="begin"/>
            </w:r>
            <w:r w:rsidR="009E1B8B">
              <w:rPr>
                <w:noProof/>
                <w:webHidden/>
              </w:rPr>
              <w:instrText xml:space="preserve"> PAGEREF _Toc121214266 \h </w:instrText>
            </w:r>
            <w:r w:rsidR="009E1B8B">
              <w:rPr>
                <w:noProof/>
                <w:webHidden/>
              </w:rPr>
            </w:r>
            <w:r w:rsidR="009E1B8B">
              <w:rPr>
                <w:noProof/>
                <w:webHidden/>
              </w:rPr>
              <w:fldChar w:fldCharType="separate"/>
            </w:r>
            <w:r w:rsidR="009E1B8B">
              <w:rPr>
                <w:noProof/>
                <w:webHidden/>
              </w:rPr>
              <w:t>26</w:t>
            </w:r>
            <w:r w:rsidR="009E1B8B">
              <w:rPr>
                <w:noProof/>
                <w:webHidden/>
              </w:rPr>
              <w:fldChar w:fldCharType="end"/>
            </w:r>
          </w:hyperlink>
        </w:p>
        <w:p w14:paraId="1BB050D1" w14:textId="10357478" w:rsidR="009E1B8B" w:rsidRDefault="002B0482">
          <w:pPr>
            <w:pStyle w:val="Sommario3"/>
            <w:rPr>
              <w:rFonts w:eastAsiaTheme="minorEastAsia"/>
              <w:noProof/>
              <w:lang w:eastAsia="it-IT"/>
            </w:rPr>
          </w:pPr>
          <w:hyperlink w:anchor="_Toc121214267" w:history="1">
            <w:r w:rsidR="009E1B8B" w:rsidRPr="00851F5B">
              <w:rPr>
                <w:rStyle w:val="Collegamentoipertestuale"/>
                <w:rFonts w:ascii="Bookman Old Style" w:hAnsi="Bookman Old Style"/>
                <w:b/>
                <w:bCs/>
                <w:noProof/>
              </w:rPr>
              <w:t>22.</w:t>
            </w:r>
            <w:r w:rsidR="009E1B8B">
              <w:rPr>
                <w:rFonts w:eastAsiaTheme="minorEastAsia"/>
                <w:noProof/>
                <w:lang w:eastAsia="it-IT"/>
              </w:rPr>
              <w:tab/>
            </w:r>
            <w:r w:rsidR="009E1B8B" w:rsidRPr="00851F5B">
              <w:rPr>
                <w:rStyle w:val="Collegamentoipertestuale"/>
                <w:rFonts w:ascii="Bookman Old Style" w:hAnsi="Bookman Old Style"/>
                <w:b/>
                <w:bCs/>
                <w:noProof/>
              </w:rPr>
              <w:t>Misure per fronteggiare l’aumento del costo dei materiali per le opere pubbliche (Art. 68)</w:t>
            </w:r>
            <w:r w:rsidR="009E1B8B">
              <w:rPr>
                <w:noProof/>
                <w:webHidden/>
              </w:rPr>
              <w:tab/>
            </w:r>
            <w:r w:rsidR="009E1B8B">
              <w:rPr>
                <w:noProof/>
                <w:webHidden/>
              </w:rPr>
              <w:fldChar w:fldCharType="begin"/>
            </w:r>
            <w:r w:rsidR="009E1B8B">
              <w:rPr>
                <w:noProof/>
                <w:webHidden/>
              </w:rPr>
              <w:instrText xml:space="preserve"> PAGEREF _Toc121214267 \h </w:instrText>
            </w:r>
            <w:r w:rsidR="009E1B8B">
              <w:rPr>
                <w:noProof/>
                <w:webHidden/>
              </w:rPr>
            </w:r>
            <w:r w:rsidR="009E1B8B">
              <w:rPr>
                <w:noProof/>
                <w:webHidden/>
              </w:rPr>
              <w:fldChar w:fldCharType="separate"/>
            </w:r>
            <w:r w:rsidR="009E1B8B">
              <w:rPr>
                <w:noProof/>
                <w:webHidden/>
              </w:rPr>
              <w:t>26</w:t>
            </w:r>
            <w:r w:rsidR="009E1B8B">
              <w:rPr>
                <w:noProof/>
                <w:webHidden/>
              </w:rPr>
              <w:fldChar w:fldCharType="end"/>
            </w:r>
          </w:hyperlink>
        </w:p>
        <w:p w14:paraId="56193219" w14:textId="335E2078" w:rsidR="009E1B8B" w:rsidRDefault="002B0482">
          <w:pPr>
            <w:pStyle w:val="Sommario3"/>
            <w:rPr>
              <w:rFonts w:eastAsiaTheme="minorEastAsia"/>
              <w:noProof/>
              <w:lang w:eastAsia="it-IT"/>
            </w:rPr>
          </w:pPr>
          <w:hyperlink w:anchor="_Toc121214268" w:history="1">
            <w:r w:rsidR="009E1B8B" w:rsidRPr="00851F5B">
              <w:rPr>
                <w:rStyle w:val="Collegamentoipertestuale"/>
                <w:rFonts w:ascii="Bookman Old Style" w:hAnsi="Bookman Old Style"/>
                <w:b/>
                <w:bCs/>
                <w:noProof/>
              </w:rPr>
              <w:t>23.</w:t>
            </w:r>
            <w:r w:rsidR="009E1B8B">
              <w:rPr>
                <w:rFonts w:eastAsiaTheme="minorEastAsia"/>
                <w:noProof/>
                <w:lang w:eastAsia="it-IT"/>
              </w:rPr>
              <w:tab/>
            </w:r>
            <w:r w:rsidR="009E1B8B" w:rsidRPr="00851F5B">
              <w:rPr>
                <w:rStyle w:val="Collegamentoipertestuale"/>
                <w:rFonts w:ascii="Bookman Old Style" w:hAnsi="Bookman Old Style"/>
                <w:b/>
                <w:bCs/>
                <w:noProof/>
              </w:rPr>
              <w:t>Sostegno</w:t>
            </w:r>
            <w:r w:rsidR="009E1B8B" w:rsidRPr="00851F5B">
              <w:rPr>
                <w:rStyle w:val="Collegamentoipertestuale"/>
                <w:rFonts w:ascii="Bookman Old Style" w:hAnsi="Bookman Old Style" w:cs="Bookman Old Style"/>
                <w:b/>
                <w:bCs/>
                <w:noProof/>
                <w:lang w:eastAsia="it-IT"/>
              </w:rPr>
              <w:t xml:space="preserve"> al ripiano degli eventuali disavanzi dovuti allo stralcio cartelle esattoriali fino a 1000 euro (art. 46)</w:t>
            </w:r>
            <w:r w:rsidR="009E1B8B">
              <w:rPr>
                <w:noProof/>
                <w:webHidden/>
              </w:rPr>
              <w:tab/>
            </w:r>
            <w:r w:rsidR="009E1B8B">
              <w:rPr>
                <w:noProof/>
                <w:webHidden/>
              </w:rPr>
              <w:fldChar w:fldCharType="begin"/>
            </w:r>
            <w:r w:rsidR="009E1B8B">
              <w:rPr>
                <w:noProof/>
                <w:webHidden/>
              </w:rPr>
              <w:instrText xml:space="preserve"> PAGEREF _Toc121214268 \h </w:instrText>
            </w:r>
            <w:r w:rsidR="009E1B8B">
              <w:rPr>
                <w:noProof/>
                <w:webHidden/>
              </w:rPr>
            </w:r>
            <w:r w:rsidR="009E1B8B">
              <w:rPr>
                <w:noProof/>
                <w:webHidden/>
              </w:rPr>
              <w:fldChar w:fldCharType="separate"/>
            </w:r>
            <w:r w:rsidR="009E1B8B">
              <w:rPr>
                <w:noProof/>
                <w:webHidden/>
              </w:rPr>
              <w:t>26</w:t>
            </w:r>
            <w:r w:rsidR="009E1B8B">
              <w:rPr>
                <w:noProof/>
                <w:webHidden/>
              </w:rPr>
              <w:fldChar w:fldCharType="end"/>
            </w:r>
          </w:hyperlink>
        </w:p>
        <w:p w14:paraId="1FA3D08F" w14:textId="6146582F" w:rsidR="009E1B8B" w:rsidRDefault="002B0482">
          <w:pPr>
            <w:pStyle w:val="Sommario3"/>
            <w:rPr>
              <w:rFonts w:eastAsiaTheme="minorEastAsia"/>
              <w:noProof/>
              <w:lang w:eastAsia="it-IT"/>
            </w:rPr>
          </w:pPr>
          <w:hyperlink w:anchor="_Toc121214269" w:history="1">
            <w:r w:rsidR="009E1B8B" w:rsidRPr="00851F5B">
              <w:rPr>
                <w:rStyle w:val="Collegamentoipertestuale"/>
                <w:rFonts w:ascii="Bookman Old Style" w:hAnsi="Bookman Old Style"/>
                <w:b/>
                <w:bCs/>
                <w:noProof/>
              </w:rPr>
              <w:t>24.</w:t>
            </w:r>
            <w:r w:rsidR="009E1B8B">
              <w:rPr>
                <w:rFonts w:eastAsiaTheme="minorEastAsia"/>
                <w:noProof/>
                <w:lang w:eastAsia="it-IT"/>
              </w:rPr>
              <w:tab/>
            </w:r>
            <w:r w:rsidR="009E1B8B" w:rsidRPr="00851F5B">
              <w:rPr>
                <w:rStyle w:val="Collegamentoipertestuale"/>
                <w:rFonts w:ascii="Bookman Old Style" w:hAnsi="Bookman Old Style"/>
                <w:b/>
                <w:bCs/>
                <w:noProof/>
              </w:rPr>
              <w:t>Agevolazioni per l’acquisto di alimentari di prima necessità (Art. 78)</w:t>
            </w:r>
            <w:r w:rsidR="009E1B8B">
              <w:rPr>
                <w:noProof/>
                <w:webHidden/>
              </w:rPr>
              <w:tab/>
            </w:r>
            <w:r w:rsidR="009E1B8B">
              <w:rPr>
                <w:noProof/>
                <w:webHidden/>
              </w:rPr>
              <w:fldChar w:fldCharType="begin"/>
            </w:r>
            <w:r w:rsidR="009E1B8B">
              <w:rPr>
                <w:noProof/>
                <w:webHidden/>
              </w:rPr>
              <w:instrText xml:space="preserve"> PAGEREF _Toc121214269 \h </w:instrText>
            </w:r>
            <w:r w:rsidR="009E1B8B">
              <w:rPr>
                <w:noProof/>
                <w:webHidden/>
              </w:rPr>
            </w:r>
            <w:r w:rsidR="009E1B8B">
              <w:rPr>
                <w:noProof/>
                <w:webHidden/>
              </w:rPr>
              <w:fldChar w:fldCharType="separate"/>
            </w:r>
            <w:r w:rsidR="009E1B8B">
              <w:rPr>
                <w:noProof/>
                <w:webHidden/>
              </w:rPr>
              <w:t>27</w:t>
            </w:r>
            <w:r w:rsidR="009E1B8B">
              <w:rPr>
                <w:noProof/>
                <w:webHidden/>
              </w:rPr>
              <w:fldChar w:fldCharType="end"/>
            </w:r>
          </w:hyperlink>
        </w:p>
        <w:p w14:paraId="6A84D1DE" w14:textId="48DEFA6B" w:rsidR="009E1B8B" w:rsidRDefault="002B0482">
          <w:pPr>
            <w:pStyle w:val="Sommario3"/>
            <w:rPr>
              <w:rFonts w:eastAsiaTheme="minorEastAsia"/>
              <w:noProof/>
              <w:lang w:eastAsia="it-IT"/>
            </w:rPr>
          </w:pPr>
          <w:hyperlink w:anchor="_Toc121214270" w:history="1">
            <w:r w:rsidR="009E1B8B" w:rsidRPr="00851F5B">
              <w:rPr>
                <w:rStyle w:val="Collegamentoipertestuale"/>
                <w:rFonts w:ascii="Bookman Old Style" w:hAnsi="Bookman Old Style"/>
                <w:b/>
                <w:bCs/>
                <w:noProof/>
              </w:rPr>
              <w:t>25.</w:t>
            </w:r>
            <w:r w:rsidR="009E1B8B">
              <w:rPr>
                <w:rFonts w:eastAsiaTheme="minorEastAsia"/>
                <w:noProof/>
                <w:lang w:eastAsia="it-IT"/>
              </w:rPr>
              <w:tab/>
            </w:r>
            <w:r w:rsidR="009E1B8B" w:rsidRPr="00851F5B">
              <w:rPr>
                <w:rStyle w:val="Collegamentoipertestuale"/>
                <w:rFonts w:ascii="Bookman Old Style" w:hAnsi="Bookman Old Style"/>
                <w:b/>
                <w:bCs/>
                <w:noProof/>
              </w:rPr>
              <w:t>Contributo</w:t>
            </w:r>
            <w:r w:rsidR="009E1B8B" w:rsidRPr="00851F5B">
              <w:rPr>
                <w:rStyle w:val="Collegamentoipertestuale"/>
                <w:rFonts w:ascii="Bookman Old Style" w:hAnsi="Bookman Old Style" w:cs="Bookman Old Style"/>
                <w:b/>
                <w:bCs/>
                <w:noProof/>
                <w:lang w:eastAsia="it-IT"/>
              </w:rPr>
              <w:t xml:space="preserve"> a sostegno dell’erogazione una tantum ai dipendenti degli enti locali (art. 62)</w:t>
            </w:r>
            <w:r w:rsidR="009E1B8B">
              <w:rPr>
                <w:noProof/>
                <w:webHidden/>
              </w:rPr>
              <w:tab/>
            </w:r>
            <w:r w:rsidR="009E1B8B">
              <w:rPr>
                <w:noProof/>
                <w:webHidden/>
              </w:rPr>
              <w:fldChar w:fldCharType="begin"/>
            </w:r>
            <w:r w:rsidR="009E1B8B">
              <w:rPr>
                <w:noProof/>
                <w:webHidden/>
              </w:rPr>
              <w:instrText xml:space="preserve"> PAGEREF _Toc121214270 \h </w:instrText>
            </w:r>
            <w:r w:rsidR="009E1B8B">
              <w:rPr>
                <w:noProof/>
                <w:webHidden/>
              </w:rPr>
            </w:r>
            <w:r w:rsidR="009E1B8B">
              <w:rPr>
                <w:noProof/>
                <w:webHidden/>
              </w:rPr>
              <w:fldChar w:fldCharType="separate"/>
            </w:r>
            <w:r w:rsidR="009E1B8B">
              <w:rPr>
                <w:noProof/>
                <w:webHidden/>
              </w:rPr>
              <w:t>27</w:t>
            </w:r>
            <w:r w:rsidR="009E1B8B">
              <w:rPr>
                <w:noProof/>
                <w:webHidden/>
              </w:rPr>
              <w:fldChar w:fldCharType="end"/>
            </w:r>
          </w:hyperlink>
        </w:p>
        <w:p w14:paraId="04741C46" w14:textId="466BFFCA" w:rsidR="009E1B8B" w:rsidRDefault="002B0482">
          <w:pPr>
            <w:pStyle w:val="Sommario3"/>
            <w:rPr>
              <w:rFonts w:eastAsiaTheme="minorEastAsia"/>
              <w:noProof/>
              <w:lang w:eastAsia="it-IT"/>
            </w:rPr>
          </w:pPr>
          <w:hyperlink w:anchor="_Toc121214271" w:history="1">
            <w:r w:rsidR="009E1B8B" w:rsidRPr="00851F5B">
              <w:rPr>
                <w:rStyle w:val="Collegamentoipertestuale"/>
                <w:rFonts w:ascii="Bookman Old Style" w:hAnsi="Bookman Old Style"/>
                <w:b/>
                <w:bCs/>
                <w:noProof/>
              </w:rPr>
              <w:t>26.</w:t>
            </w:r>
            <w:r w:rsidR="009E1B8B">
              <w:rPr>
                <w:rFonts w:eastAsiaTheme="minorEastAsia"/>
                <w:noProof/>
                <w:lang w:eastAsia="it-IT"/>
              </w:rPr>
              <w:tab/>
            </w:r>
            <w:r w:rsidR="009E1B8B" w:rsidRPr="00851F5B">
              <w:rPr>
                <w:rStyle w:val="Collegamentoipertestuale"/>
                <w:rFonts w:ascii="Bookman Old Style" w:hAnsi="Bookman Old Style"/>
                <w:b/>
                <w:bCs/>
                <w:noProof/>
              </w:rPr>
              <w:t>Calcolo del Fondo di garanzia debiti commerciali-Scomputo maggiori oneri da maggiori costi energia</w:t>
            </w:r>
            <w:r w:rsidR="009E1B8B">
              <w:rPr>
                <w:noProof/>
                <w:webHidden/>
              </w:rPr>
              <w:tab/>
            </w:r>
            <w:r w:rsidR="009E1B8B">
              <w:rPr>
                <w:noProof/>
                <w:webHidden/>
              </w:rPr>
              <w:fldChar w:fldCharType="begin"/>
            </w:r>
            <w:r w:rsidR="009E1B8B">
              <w:rPr>
                <w:noProof/>
                <w:webHidden/>
              </w:rPr>
              <w:instrText xml:space="preserve"> PAGEREF _Toc121214271 \h </w:instrText>
            </w:r>
            <w:r w:rsidR="009E1B8B">
              <w:rPr>
                <w:noProof/>
                <w:webHidden/>
              </w:rPr>
            </w:r>
            <w:r w:rsidR="009E1B8B">
              <w:rPr>
                <w:noProof/>
                <w:webHidden/>
              </w:rPr>
              <w:fldChar w:fldCharType="separate"/>
            </w:r>
            <w:r w:rsidR="009E1B8B">
              <w:rPr>
                <w:noProof/>
                <w:webHidden/>
              </w:rPr>
              <w:t>28</w:t>
            </w:r>
            <w:r w:rsidR="009E1B8B">
              <w:rPr>
                <w:noProof/>
                <w:webHidden/>
              </w:rPr>
              <w:fldChar w:fldCharType="end"/>
            </w:r>
          </w:hyperlink>
        </w:p>
        <w:p w14:paraId="756D6F1C" w14:textId="4B5AFDAB" w:rsidR="009E1B8B" w:rsidRDefault="002B0482">
          <w:pPr>
            <w:pStyle w:val="Sommario3"/>
            <w:rPr>
              <w:rFonts w:eastAsiaTheme="minorEastAsia"/>
              <w:noProof/>
              <w:lang w:eastAsia="it-IT"/>
            </w:rPr>
          </w:pPr>
          <w:hyperlink w:anchor="_Toc121214272" w:history="1">
            <w:r w:rsidR="009E1B8B" w:rsidRPr="00851F5B">
              <w:rPr>
                <w:rStyle w:val="Collegamentoipertestuale"/>
                <w:rFonts w:ascii="Bookman Old Style" w:hAnsi="Bookman Old Style"/>
                <w:b/>
                <w:bCs/>
                <w:noProof/>
              </w:rPr>
              <w:t>27.</w:t>
            </w:r>
            <w:r w:rsidR="009E1B8B">
              <w:rPr>
                <w:rFonts w:eastAsiaTheme="minorEastAsia"/>
                <w:noProof/>
                <w:lang w:eastAsia="it-IT"/>
              </w:rPr>
              <w:tab/>
            </w:r>
            <w:r w:rsidR="009E1B8B" w:rsidRPr="00851F5B">
              <w:rPr>
                <w:rStyle w:val="Collegamentoipertestuale"/>
                <w:rFonts w:ascii="Bookman Old Style" w:hAnsi="Bookman Old Style"/>
                <w:b/>
                <w:bCs/>
                <w:noProof/>
              </w:rPr>
              <w:t>Semplificazione adempimenti per i Comuni coinvolti dagli eventi alluvionali del settembre 2022 nella regione Marche (art. 131)</w:t>
            </w:r>
            <w:r w:rsidR="009E1B8B">
              <w:rPr>
                <w:noProof/>
                <w:webHidden/>
              </w:rPr>
              <w:tab/>
            </w:r>
            <w:r w:rsidR="009E1B8B">
              <w:rPr>
                <w:noProof/>
                <w:webHidden/>
              </w:rPr>
              <w:fldChar w:fldCharType="begin"/>
            </w:r>
            <w:r w:rsidR="009E1B8B">
              <w:rPr>
                <w:noProof/>
                <w:webHidden/>
              </w:rPr>
              <w:instrText xml:space="preserve"> PAGEREF _Toc121214272 \h </w:instrText>
            </w:r>
            <w:r w:rsidR="009E1B8B">
              <w:rPr>
                <w:noProof/>
                <w:webHidden/>
              </w:rPr>
            </w:r>
            <w:r w:rsidR="009E1B8B">
              <w:rPr>
                <w:noProof/>
                <w:webHidden/>
              </w:rPr>
              <w:fldChar w:fldCharType="separate"/>
            </w:r>
            <w:r w:rsidR="009E1B8B">
              <w:rPr>
                <w:noProof/>
                <w:webHidden/>
              </w:rPr>
              <w:t>28</w:t>
            </w:r>
            <w:r w:rsidR="009E1B8B">
              <w:rPr>
                <w:noProof/>
                <w:webHidden/>
              </w:rPr>
              <w:fldChar w:fldCharType="end"/>
            </w:r>
          </w:hyperlink>
        </w:p>
        <w:p w14:paraId="024C8288" w14:textId="5F928233" w:rsidR="009E1B8B" w:rsidRDefault="002B0482">
          <w:pPr>
            <w:pStyle w:val="Sommario3"/>
            <w:rPr>
              <w:rFonts w:eastAsiaTheme="minorEastAsia"/>
              <w:noProof/>
              <w:lang w:eastAsia="it-IT"/>
            </w:rPr>
          </w:pPr>
          <w:hyperlink w:anchor="_Toc121214273" w:history="1">
            <w:r w:rsidR="009E1B8B" w:rsidRPr="00851F5B">
              <w:rPr>
                <w:rStyle w:val="Collegamentoipertestuale"/>
                <w:rFonts w:ascii="Bookman Old Style" w:hAnsi="Bookman Old Style"/>
                <w:b/>
                <w:bCs/>
                <w:noProof/>
              </w:rPr>
              <w:t>28.</w:t>
            </w:r>
            <w:r w:rsidR="009E1B8B">
              <w:rPr>
                <w:rFonts w:eastAsiaTheme="minorEastAsia"/>
                <w:noProof/>
                <w:lang w:eastAsia="it-IT"/>
              </w:rPr>
              <w:tab/>
            </w:r>
            <w:r w:rsidR="009E1B8B" w:rsidRPr="00851F5B">
              <w:rPr>
                <w:rStyle w:val="Collegamentoipertestuale"/>
                <w:rFonts w:ascii="Bookman Old Style" w:hAnsi="Bookman Old Style"/>
                <w:b/>
                <w:bCs/>
                <w:noProof/>
              </w:rPr>
              <w:t>Disposizioni in materia di pagamento dei debiti commerciali degli enti locali in considerazione dell’emergenza “caro bollette”</w:t>
            </w:r>
            <w:r w:rsidR="009E1B8B">
              <w:rPr>
                <w:noProof/>
                <w:webHidden/>
              </w:rPr>
              <w:tab/>
            </w:r>
            <w:r w:rsidR="009E1B8B">
              <w:rPr>
                <w:noProof/>
                <w:webHidden/>
              </w:rPr>
              <w:fldChar w:fldCharType="begin"/>
            </w:r>
            <w:r w:rsidR="009E1B8B">
              <w:rPr>
                <w:noProof/>
                <w:webHidden/>
              </w:rPr>
              <w:instrText xml:space="preserve"> PAGEREF _Toc121214273 \h </w:instrText>
            </w:r>
            <w:r w:rsidR="009E1B8B">
              <w:rPr>
                <w:noProof/>
                <w:webHidden/>
              </w:rPr>
            </w:r>
            <w:r w:rsidR="009E1B8B">
              <w:rPr>
                <w:noProof/>
                <w:webHidden/>
              </w:rPr>
              <w:fldChar w:fldCharType="separate"/>
            </w:r>
            <w:r w:rsidR="009E1B8B">
              <w:rPr>
                <w:noProof/>
                <w:webHidden/>
              </w:rPr>
              <w:t>29</w:t>
            </w:r>
            <w:r w:rsidR="009E1B8B">
              <w:rPr>
                <w:noProof/>
                <w:webHidden/>
              </w:rPr>
              <w:fldChar w:fldCharType="end"/>
            </w:r>
          </w:hyperlink>
        </w:p>
        <w:p w14:paraId="4C384A89" w14:textId="5EF6D404" w:rsidR="009E1B8B" w:rsidRDefault="002B0482">
          <w:pPr>
            <w:pStyle w:val="Sommario3"/>
            <w:rPr>
              <w:rFonts w:eastAsiaTheme="minorEastAsia"/>
              <w:noProof/>
              <w:lang w:eastAsia="it-IT"/>
            </w:rPr>
          </w:pPr>
          <w:hyperlink w:anchor="_Toc121214274" w:history="1">
            <w:r w:rsidR="009E1B8B" w:rsidRPr="00851F5B">
              <w:rPr>
                <w:rStyle w:val="Collegamentoipertestuale"/>
                <w:rFonts w:ascii="Bookman Old Style" w:hAnsi="Bookman Old Style"/>
                <w:b/>
                <w:bCs/>
                <w:noProof/>
              </w:rPr>
              <w:t>29.</w:t>
            </w:r>
            <w:r w:rsidR="009E1B8B">
              <w:rPr>
                <w:rFonts w:eastAsiaTheme="minorEastAsia"/>
                <w:noProof/>
                <w:lang w:eastAsia="it-IT"/>
              </w:rPr>
              <w:tab/>
            </w:r>
            <w:r w:rsidR="009E1B8B" w:rsidRPr="00851F5B">
              <w:rPr>
                <w:rStyle w:val="Collegamentoipertestuale"/>
                <w:rFonts w:ascii="Bookman Old Style" w:hAnsi="Bookman Old Style"/>
                <w:b/>
                <w:bCs/>
                <w:noProof/>
              </w:rPr>
              <w:t>Sospensione quota capitale mutui MEF per il 2023</w:t>
            </w:r>
            <w:r w:rsidR="009E1B8B">
              <w:rPr>
                <w:noProof/>
                <w:webHidden/>
              </w:rPr>
              <w:tab/>
            </w:r>
            <w:r w:rsidR="009E1B8B">
              <w:rPr>
                <w:noProof/>
                <w:webHidden/>
              </w:rPr>
              <w:fldChar w:fldCharType="begin"/>
            </w:r>
            <w:r w:rsidR="009E1B8B">
              <w:rPr>
                <w:noProof/>
                <w:webHidden/>
              </w:rPr>
              <w:instrText xml:space="preserve"> PAGEREF _Toc121214274 \h </w:instrText>
            </w:r>
            <w:r w:rsidR="009E1B8B">
              <w:rPr>
                <w:noProof/>
                <w:webHidden/>
              </w:rPr>
            </w:r>
            <w:r w:rsidR="009E1B8B">
              <w:rPr>
                <w:noProof/>
                <w:webHidden/>
              </w:rPr>
              <w:fldChar w:fldCharType="separate"/>
            </w:r>
            <w:r w:rsidR="009E1B8B">
              <w:rPr>
                <w:noProof/>
                <w:webHidden/>
              </w:rPr>
              <w:t>31</w:t>
            </w:r>
            <w:r w:rsidR="009E1B8B">
              <w:rPr>
                <w:noProof/>
                <w:webHidden/>
              </w:rPr>
              <w:fldChar w:fldCharType="end"/>
            </w:r>
          </w:hyperlink>
        </w:p>
        <w:p w14:paraId="26904D47" w14:textId="4D95855F" w:rsidR="009E1B8B" w:rsidRDefault="002B0482">
          <w:pPr>
            <w:pStyle w:val="Sommario3"/>
            <w:rPr>
              <w:rFonts w:eastAsiaTheme="minorEastAsia"/>
              <w:noProof/>
              <w:lang w:eastAsia="it-IT"/>
            </w:rPr>
          </w:pPr>
          <w:hyperlink w:anchor="_Toc121214275" w:history="1">
            <w:r w:rsidR="009E1B8B" w:rsidRPr="00851F5B">
              <w:rPr>
                <w:rStyle w:val="Collegamentoipertestuale"/>
                <w:rFonts w:ascii="Bookman Old Style" w:hAnsi="Bookman Old Style"/>
                <w:b/>
                <w:bCs/>
                <w:noProof/>
              </w:rPr>
              <w:t>30.</w:t>
            </w:r>
            <w:r w:rsidR="009E1B8B">
              <w:rPr>
                <w:rFonts w:eastAsiaTheme="minorEastAsia"/>
                <w:noProof/>
                <w:lang w:eastAsia="it-IT"/>
              </w:rPr>
              <w:tab/>
            </w:r>
            <w:r w:rsidR="009E1B8B" w:rsidRPr="00851F5B">
              <w:rPr>
                <w:rStyle w:val="Collegamentoipertestuale"/>
                <w:rFonts w:ascii="Bookman Old Style" w:hAnsi="Bookman Old Style"/>
                <w:b/>
                <w:bCs/>
                <w:noProof/>
              </w:rPr>
              <w:t>Interventi di monitoraggio sul gettito dell’IMU, anche a seguito della sentenza CCost n. 209/2022</w:t>
            </w:r>
            <w:r w:rsidR="009E1B8B">
              <w:rPr>
                <w:noProof/>
                <w:webHidden/>
              </w:rPr>
              <w:tab/>
            </w:r>
            <w:r w:rsidR="009E1B8B">
              <w:rPr>
                <w:noProof/>
                <w:webHidden/>
              </w:rPr>
              <w:fldChar w:fldCharType="begin"/>
            </w:r>
            <w:r w:rsidR="009E1B8B">
              <w:rPr>
                <w:noProof/>
                <w:webHidden/>
              </w:rPr>
              <w:instrText xml:space="preserve"> PAGEREF _Toc121214275 \h </w:instrText>
            </w:r>
            <w:r w:rsidR="009E1B8B">
              <w:rPr>
                <w:noProof/>
                <w:webHidden/>
              </w:rPr>
            </w:r>
            <w:r w:rsidR="009E1B8B">
              <w:rPr>
                <w:noProof/>
                <w:webHidden/>
              </w:rPr>
              <w:fldChar w:fldCharType="separate"/>
            </w:r>
            <w:r w:rsidR="009E1B8B">
              <w:rPr>
                <w:noProof/>
                <w:webHidden/>
              </w:rPr>
              <w:t>32</w:t>
            </w:r>
            <w:r w:rsidR="009E1B8B">
              <w:rPr>
                <w:noProof/>
                <w:webHidden/>
              </w:rPr>
              <w:fldChar w:fldCharType="end"/>
            </w:r>
          </w:hyperlink>
        </w:p>
        <w:p w14:paraId="08F16FAB" w14:textId="79FD9586" w:rsidR="009E1B8B" w:rsidRDefault="002B0482">
          <w:pPr>
            <w:pStyle w:val="Sommario3"/>
            <w:rPr>
              <w:rFonts w:eastAsiaTheme="minorEastAsia"/>
              <w:noProof/>
              <w:lang w:eastAsia="it-IT"/>
            </w:rPr>
          </w:pPr>
          <w:hyperlink w:anchor="_Toc121214276" w:history="1">
            <w:r w:rsidR="009E1B8B" w:rsidRPr="00851F5B">
              <w:rPr>
                <w:rStyle w:val="Collegamentoipertestuale"/>
                <w:rFonts w:ascii="Bookman Old Style" w:hAnsi="Bookman Old Style"/>
                <w:b/>
                <w:bCs/>
                <w:noProof/>
              </w:rPr>
              <w:t>31.</w:t>
            </w:r>
            <w:r w:rsidR="009E1B8B">
              <w:rPr>
                <w:rFonts w:eastAsiaTheme="minorEastAsia"/>
                <w:noProof/>
                <w:lang w:eastAsia="it-IT"/>
              </w:rPr>
              <w:tab/>
            </w:r>
            <w:r w:rsidR="009E1B8B" w:rsidRPr="00851F5B">
              <w:rPr>
                <w:rStyle w:val="Collegamentoipertestuale"/>
                <w:rFonts w:ascii="Bookman Old Style" w:hAnsi="Bookman Old Style"/>
                <w:b/>
                <w:bCs/>
                <w:noProof/>
              </w:rPr>
              <w:t>Ampliamento dei servizi educativi per l’infanzia oggetto di intervento per incentivazione degli obiettivi di servizio e altre modifiche agli incentivi degli obiettivi di servizio di cui al comma 172, legge 234/2021</w:t>
            </w:r>
            <w:r w:rsidR="009E1B8B">
              <w:rPr>
                <w:noProof/>
                <w:webHidden/>
              </w:rPr>
              <w:tab/>
            </w:r>
            <w:r w:rsidR="009E1B8B">
              <w:rPr>
                <w:noProof/>
                <w:webHidden/>
              </w:rPr>
              <w:fldChar w:fldCharType="begin"/>
            </w:r>
            <w:r w:rsidR="009E1B8B">
              <w:rPr>
                <w:noProof/>
                <w:webHidden/>
              </w:rPr>
              <w:instrText xml:space="preserve"> PAGEREF _Toc121214276 \h </w:instrText>
            </w:r>
            <w:r w:rsidR="009E1B8B">
              <w:rPr>
                <w:noProof/>
                <w:webHidden/>
              </w:rPr>
            </w:r>
            <w:r w:rsidR="009E1B8B">
              <w:rPr>
                <w:noProof/>
                <w:webHidden/>
              </w:rPr>
              <w:fldChar w:fldCharType="separate"/>
            </w:r>
            <w:r w:rsidR="009E1B8B">
              <w:rPr>
                <w:noProof/>
                <w:webHidden/>
              </w:rPr>
              <w:t>33</w:t>
            </w:r>
            <w:r w:rsidR="009E1B8B">
              <w:rPr>
                <w:noProof/>
                <w:webHidden/>
              </w:rPr>
              <w:fldChar w:fldCharType="end"/>
            </w:r>
          </w:hyperlink>
        </w:p>
        <w:p w14:paraId="3155A28D" w14:textId="122A1E7A" w:rsidR="009E1B8B" w:rsidRDefault="002B0482">
          <w:pPr>
            <w:pStyle w:val="Sommario3"/>
            <w:rPr>
              <w:rFonts w:eastAsiaTheme="minorEastAsia"/>
              <w:noProof/>
              <w:lang w:eastAsia="it-IT"/>
            </w:rPr>
          </w:pPr>
          <w:hyperlink w:anchor="_Toc121214277" w:history="1">
            <w:r w:rsidR="009E1B8B" w:rsidRPr="00851F5B">
              <w:rPr>
                <w:rStyle w:val="Collegamentoipertestuale"/>
                <w:rFonts w:ascii="Bookman Old Style" w:hAnsi="Bookman Old Style"/>
                <w:b/>
                <w:bCs/>
                <w:noProof/>
              </w:rPr>
              <w:t>32.</w:t>
            </w:r>
            <w:r w:rsidR="009E1B8B">
              <w:rPr>
                <w:rFonts w:eastAsiaTheme="minorEastAsia"/>
                <w:noProof/>
                <w:lang w:eastAsia="it-IT"/>
              </w:rPr>
              <w:tab/>
            </w:r>
            <w:r w:rsidR="009E1B8B" w:rsidRPr="00851F5B">
              <w:rPr>
                <w:rStyle w:val="Collegamentoipertestuale"/>
                <w:rFonts w:ascii="Bookman Old Style" w:hAnsi="Bookman Old Style"/>
                <w:b/>
                <w:bCs/>
                <w:noProof/>
              </w:rPr>
              <w:t>Ristoro tagli ex dl 95/2012 per servizi eccedenti la normale operatività comunale (case di riposo/idrico/ discarica)</w:t>
            </w:r>
            <w:r w:rsidR="009E1B8B">
              <w:rPr>
                <w:noProof/>
                <w:webHidden/>
              </w:rPr>
              <w:tab/>
            </w:r>
            <w:r w:rsidR="009E1B8B">
              <w:rPr>
                <w:noProof/>
                <w:webHidden/>
              </w:rPr>
              <w:fldChar w:fldCharType="begin"/>
            </w:r>
            <w:r w:rsidR="009E1B8B">
              <w:rPr>
                <w:noProof/>
                <w:webHidden/>
              </w:rPr>
              <w:instrText xml:space="preserve"> PAGEREF _Toc121214277 \h </w:instrText>
            </w:r>
            <w:r w:rsidR="009E1B8B">
              <w:rPr>
                <w:noProof/>
                <w:webHidden/>
              </w:rPr>
            </w:r>
            <w:r w:rsidR="009E1B8B">
              <w:rPr>
                <w:noProof/>
                <w:webHidden/>
              </w:rPr>
              <w:fldChar w:fldCharType="separate"/>
            </w:r>
            <w:r w:rsidR="009E1B8B">
              <w:rPr>
                <w:noProof/>
                <w:webHidden/>
              </w:rPr>
              <w:t>34</w:t>
            </w:r>
            <w:r w:rsidR="009E1B8B">
              <w:rPr>
                <w:noProof/>
                <w:webHidden/>
              </w:rPr>
              <w:fldChar w:fldCharType="end"/>
            </w:r>
          </w:hyperlink>
        </w:p>
        <w:p w14:paraId="3D49D43D" w14:textId="73884394" w:rsidR="009E1B8B" w:rsidRDefault="002B0482">
          <w:pPr>
            <w:pStyle w:val="Sommario3"/>
            <w:rPr>
              <w:rFonts w:eastAsiaTheme="minorEastAsia"/>
              <w:noProof/>
              <w:lang w:eastAsia="it-IT"/>
            </w:rPr>
          </w:pPr>
          <w:hyperlink w:anchor="_Toc121214278" w:history="1">
            <w:r w:rsidR="009E1B8B" w:rsidRPr="00851F5B">
              <w:rPr>
                <w:rStyle w:val="Collegamentoipertestuale"/>
                <w:rFonts w:ascii="Bookman Old Style" w:hAnsi="Bookman Old Style"/>
                <w:b/>
                <w:bCs/>
                <w:noProof/>
              </w:rPr>
              <w:t>33.</w:t>
            </w:r>
            <w:r w:rsidR="009E1B8B">
              <w:rPr>
                <w:rFonts w:eastAsiaTheme="minorEastAsia"/>
                <w:noProof/>
                <w:lang w:eastAsia="it-IT"/>
              </w:rPr>
              <w:tab/>
            </w:r>
            <w:r w:rsidR="009E1B8B" w:rsidRPr="00851F5B">
              <w:rPr>
                <w:rStyle w:val="Collegamentoipertestuale"/>
                <w:rFonts w:ascii="Bookman Old Style" w:hAnsi="Bookman Old Style"/>
                <w:b/>
                <w:bCs/>
                <w:noProof/>
              </w:rPr>
              <w:t>Sostegno agli oneri sostenuti dai Comuni fino a 5 mila abitanti per sentenze di affidamento di minori o famiglie in difficoltà</w:t>
            </w:r>
            <w:r w:rsidR="009E1B8B">
              <w:rPr>
                <w:noProof/>
                <w:webHidden/>
              </w:rPr>
              <w:tab/>
            </w:r>
            <w:r w:rsidR="009E1B8B">
              <w:rPr>
                <w:noProof/>
                <w:webHidden/>
              </w:rPr>
              <w:fldChar w:fldCharType="begin"/>
            </w:r>
            <w:r w:rsidR="009E1B8B">
              <w:rPr>
                <w:noProof/>
                <w:webHidden/>
              </w:rPr>
              <w:instrText xml:space="preserve"> PAGEREF _Toc121214278 \h </w:instrText>
            </w:r>
            <w:r w:rsidR="009E1B8B">
              <w:rPr>
                <w:noProof/>
                <w:webHidden/>
              </w:rPr>
            </w:r>
            <w:r w:rsidR="009E1B8B">
              <w:rPr>
                <w:noProof/>
                <w:webHidden/>
              </w:rPr>
              <w:fldChar w:fldCharType="separate"/>
            </w:r>
            <w:r w:rsidR="009E1B8B">
              <w:rPr>
                <w:noProof/>
                <w:webHidden/>
              </w:rPr>
              <w:t>35</w:t>
            </w:r>
            <w:r w:rsidR="009E1B8B">
              <w:rPr>
                <w:noProof/>
                <w:webHidden/>
              </w:rPr>
              <w:fldChar w:fldCharType="end"/>
            </w:r>
          </w:hyperlink>
        </w:p>
        <w:p w14:paraId="545FF9E8" w14:textId="75915CD0" w:rsidR="009E1B8B" w:rsidRDefault="002B0482">
          <w:pPr>
            <w:pStyle w:val="Sommario3"/>
            <w:rPr>
              <w:rFonts w:eastAsiaTheme="minorEastAsia"/>
              <w:noProof/>
              <w:lang w:eastAsia="it-IT"/>
            </w:rPr>
          </w:pPr>
          <w:hyperlink w:anchor="_Toc121214279" w:history="1">
            <w:r w:rsidR="009E1B8B" w:rsidRPr="00851F5B">
              <w:rPr>
                <w:rStyle w:val="Collegamentoipertestuale"/>
                <w:rFonts w:ascii="Bookman Old Style" w:hAnsi="Bookman Old Style"/>
                <w:b/>
                <w:bCs/>
                <w:noProof/>
              </w:rPr>
              <w:t>34.</w:t>
            </w:r>
            <w:r w:rsidR="009E1B8B">
              <w:rPr>
                <w:rFonts w:eastAsiaTheme="minorEastAsia"/>
                <w:noProof/>
                <w:lang w:eastAsia="it-IT"/>
              </w:rPr>
              <w:tab/>
            </w:r>
            <w:r w:rsidR="009E1B8B" w:rsidRPr="00851F5B">
              <w:rPr>
                <w:rStyle w:val="Collegamentoipertestuale"/>
                <w:rFonts w:ascii="Bookman Old Style" w:hAnsi="Bookman Old Style"/>
                <w:b/>
                <w:bCs/>
                <w:noProof/>
              </w:rPr>
              <w:t>Ulteriore contributo a ripiano da maggiori oneri FAL e fondi rotativi (sentenze CCost n. 18/2019 e 80/2020)</w:t>
            </w:r>
            <w:r w:rsidR="009E1B8B">
              <w:rPr>
                <w:noProof/>
                <w:webHidden/>
              </w:rPr>
              <w:tab/>
            </w:r>
            <w:r w:rsidR="009E1B8B">
              <w:rPr>
                <w:noProof/>
                <w:webHidden/>
              </w:rPr>
              <w:fldChar w:fldCharType="begin"/>
            </w:r>
            <w:r w:rsidR="009E1B8B">
              <w:rPr>
                <w:noProof/>
                <w:webHidden/>
              </w:rPr>
              <w:instrText xml:space="preserve"> PAGEREF _Toc121214279 \h </w:instrText>
            </w:r>
            <w:r w:rsidR="009E1B8B">
              <w:rPr>
                <w:noProof/>
                <w:webHidden/>
              </w:rPr>
            </w:r>
            <w:r w:rsidR="009E1B8B">
              <w:rPr>
                <w:noProof/>
                <w:webHidden/>
              </w:rPr>
              <w:fldChar w:fldCharType="separate"/>
            </w:r>
            <w:r w:rsidR="009E1B8B">
              <w:rPr>
                <w:noProof/>
                <w:webHidden/>
              </w:rPr>
              <w:t>36</w:t>
            </w:r>
            <w:r w:rsidR="009E1B8B">
              <w:rPr>
                <w:noProof/>
                <w:webHidden/>
              </w:rPr>
              <w:fldChar w:fldCharType="end"/>
            </w:r>
          </w:hyperlink>
        </w:p>
        <w:p w14:paraId="010319A5" w14:textId="0EDE1FD1" w:rsidR="009E1B8B" w:rsidRDefault="002B0482">
          <w:pPr>
            <w:pStyle w:val="Sommario3"/>
            <w:rPr>
              <w:rFonts w:eastAsiaTheme="minorEastAsia"/>
              <w:noProof/>
              <w:lang w:eastAsia="it-IT"/>
            </w:rPr>
          </w:pPr>
          <w:hyperlink w:anchor="_Toc121214280" w:history="1">
            <w:r w:rsidR="009E1B8B" w:rsidRPr="00851F5B">
              <w:rPr>
                <w:rStyle w:val="Collegamentoipertestuale"/>
                <w:rFonts w:ascii="Bookman Old Style" w:hAnsi="Bookman Old Style"/>
                <w:b/>
                <w:bCs/>
                <w:noProof/>
              </w:rPr>
              <w:t>35.</w:t>
            </w:r>
            <w:r w:rsidR="009E1B8B">
              <w:rPr>
                <w:rFonts w:eastAsiaTheme="minorEastAsia"/>
                <w:noProof/>
                <w:lang w:eastAsia="it-IT"/>
              </w:rPr>
              <w:tab/>
            </w:r>
            <w:r w:rsidR="009E1B8B" w:rsidRPr="00851F5B">
              <w:rPr>
                <w:rStyle w:val="Collegamentoipertestuale"/>
                <w:rFonts w:ascii="Bookman Old Style" w:hAnsi="Bookman Old Style"/>
                <w:b/>
                <w:bCs/>
                <w:noProof/>
              </w:rPr>
              <w:t xml:space="preserve">Fondo per contenziosi connessi a sentenze esecutive relative a calamità o cedimenti </w:t>
            </w:r>
            <w:r w:rsidR="009E1B8B" w:rsidRPr="00851F5B">
              <w:rPr>
                <w:rStyle w:val="Collegamentoipertestuale"/>
                <w:rFonts w:ascii="Times New Roman" w:hAnsi="Times New Roman" w:cs="Times New Roman"/>
                <w:b/>
                <w:bCs/>
                <w:noProof/>
              </w:rPr>
              <w:t> </w:t>
            </w:r>
            <w:r w:rsidR="009E1B8B">
              <w:rPr>
                <w:noProof/>
                <w:webHidden/>
              </w:rPr>
              <w:tab/>
            </w:r>
            <w:r w:rsidR="009E1B8B">
              <w:rPr>
                <w:noProof/>
                <w:webHidden/>
              </w:rPr>
              <w:fldChar w:fldCharType="begin"/>
            </w:r>
            <w:r w:rsidR="009E1B8B">
              <w:rPr>
                <w:noProof/>
                <w:webHidden/>
              </w:rPr>
              <w:instrText xml:space="preserve"> PAGEREF _Toc121214280 \h </w:instrText>
            </w:r>
            <w:r w:rsidR="009E1B8B">
              <w:rPr>
                <w:noProof/>
                <w:webHidden/>
              </w:rPr>
            </w:r>
            <w:r w:rsidR="009E1B8B">
              <w:rPr>
                <w:noProof/>
                <w:webHidden/>
              </w:rPr>
              <w:fldChar w:fldCharType="separate"/>
            </w:r>
            <w:r w:rsidR="009E1B8B">
              <w:rPr>
                <w:noProof/>
                <w:webHidden/>
              </w:rPr>
              <w:t>38</w:t>
            </w:r>
            <w:r w:rsidR="009E1B8B">
              <w:rPr>
                <w:noProof/>
                <w:webHidden/>
              </w:rPr>
              <w:fldChar w:fldCharType="end"/>
            </w:r>
          </w:hyperlink>
        </w:p>
        <w:p w14:paraId="6EFB72AE" w14:textId="52EF1AA6" w:rsidR="009E1B8B" w:rsidRDefault="002B0482">
          <w:pPr>
            <w:pStyle w:val="Sommario3"/>
            <w:rPr>
              <w:rFonts w:eastAsiaTheme="minorEastAsia"/>
              <w:noProof/>
              <w:lang w:eastAsia="it-IT"/>
            </w:rPr>
          </w:pPr>
          <w:hyperlink w:anchor="_Toc121214281" w:history="1">
            <w:r w:rsidR="009E1B8B" w:rsidRPr="00851F5B">
              <w:rPr>
                <w:rStyle w:val="Collegamentoipertestuale"/>
                <w:rFonts w:ascii="Bookman Old Style" w:hAnsi="Bookman Old Style"/>
                <w:b/>
                <w:bCs/>
                <w:noProof/>
              </w:rPr>
              <w:t>36.</w:t>
            </w:r>
            <w:r w:rsidR="009E1B8B">
              <w:rPr>
                <w:rFonts w:eastAsiaTheme="minorEastAsia"/>
                <w:noProof/>
                <w:lang w:eastAsia="it-IT"/>
              </w:rPr>
              <w:tab/>
            </w:r>
            <w:r w:rsidR="009E1B8B" w:rsidRPr="00851F5B">
              <w:rPr>
                <w:rStyle w:val="Collegamentoipertestuale"/>
                <w:rFonts w:ascii="Bookman Old Style" w:hAnsi="Bookman Old Style"/>
                <w:b/>
                <w:bCs/>
                <w:noProof/>
              </w:rPr>
              <w:t>Sanatoria per inadempienza certificazioni Covid</w:t>
            </w:r>
            <w:r w:rsidR="009E1B8B" w:rsidRPr="00851F5B">
              <w:rPr>
                <w:rStyle w:val="Collegamentoipertestuale"/>
                <w:rFonts w:ascii="Times New Roman" w:hAnsi="Times New Roman" w:cs="Times New Roman"/>
                <w:b/>
                <w:bCs/>
                <w:noProof/>
              </w:rPr>
              <w:t> </w:t>
            </w:r>
            <w:r w:rsidR="009E1B8B" w:rsidRPr="00851F5B">
              <w:rPr>
                <w:rStyle w:val="Collegamentoipertestuale"/>
                <w:rFonts w:ascii="Bookman Old Style" w:hAnsi="Bookman Old Style" w:cs="Times New Roman"/>
                <w:b/>
                <w:bCs/>
                <w:noProof/>
              </w:rPr>
              <w:t>(art. 143)</w:t>
            </w:r>
            <w:r w:rsidR="009E1B8B">
              <w:rPr>
                <w:noProof/>
                <w:webHidden/>
              </w:rPr>
              <w:tab/>
            </w:r>
            <w:r w:rsidR="009E1B8B">
              <w:rPr>
                <w:noProof/>
                <w:webHidden/>
              </w:rPr>
              <w:fldChar w:fldCharType="begin"/>
            </w:r>
            <w:r w:rsidR="009E1B8B">
              <w:rPr>
                <w:noProof/>
                <w:webHidden/>
              </w:rPr>
              <w:instrText xml:space="preserve"> PAGEREF _Toc121214281 \h </w:instrText>
            </w:r>
            <w:r w:rsidR="009E1B8B">
              <w:rPr>
                <w:noProof/>
                <w:webHidden/>
              </w:rPr>
            </w:r>
            <w:r w:rsidR="009E1B8B">
              <w:rPr>
                <w:noProof/>
                <w:webHidden/>
              </w:rPr>
              <w:fldChar w:fldCharType="separate"/>
            </w:r>
            <w:r w:rsidR="009E1B8B">
              <w:rPr>
                <w:noProof/>
                <w:webHidden/>
              </w:rPr>
              <w:t>38</w:t>
            </w:r>
            <w:r w:rsidR="009E1B8B">
              <w:rPr>
                <w:noProof/>
                <w:webHidden/>
              </w:rPr>
              <w:fldChar w:fldCharType="end"/>
            </w:r>
          </w:hyperlink>
        </w:p>
        <w:p w14:paraId="3F6B6FB4" w14:textId="6E658369" w:rsidR="009E1B8B" w:rsidRDefault="002B0482">
          <w:pPr>
            <w:pStyle w:val="Sommario3"/>
            <w:rPr>
              <w:rFonts w:eastAsiaTheme="minorEastAsia"/>
              <w:noProof/>
              <w:lang w:eastAsia="it-IT"/>
            </w:rPr>
          </w:pPr>
          <w:hyperlink w:anchor="_Toc121214282" w:history="1">
            <w:r w:rsidR="009E1B8B" w:rsidRPr="00851F5B">
              <w:rPr>
                <w:rStyle w:val="Collegamentoipertestuale"/>
                <w:rFonts w:ascii="Bookman Old Style" w:hAnsi="Bookman Old Style"/>
                <w:b/>
                <w:bCs/>
                <w:noProof/>
              </w:rPr>
              <w:t>37.</w:t>
            </w:r>
            <w:r w:rsidR="009E1B8B">
              <w:rPr>
                <w:rFonts w:eastAsiaTheme="minorEastAsia"/>
                <w:noProof/>
                <w:lang w:eastAsia="it-IT"/>
              </w:rPr>
              <w:tab/>
            </w:r>
            <w:r w:rsidR="009E1B8B" w:rsidRPr="00851F5B">
              <w:rPr>
                <w:rStyle w:val="Collegamentoipertestuale"/>
                <w:rFonts w:ascii="Bookman Old Style" w:hAnsi="Bookman Old Style"/>
                <w:b/>
                <w:bCs/>
                <w:noProof/>
              </w:rPr>
              <w:t>Sospensione della sanzione per mancata compilazione questionari Sose e comunicazione dati contabili</w:t>
            </w:r>
            <w:r w:rsidR="009E1B8B">
              <w:rPr>
                <w:noProof/>
                <w:webHidden/>
              </w:rPr>
              <w:tab/>
            </w:r>
            <w:r w:rsidR="009E1B8B">
              <w:rPr>
                <w:noProof/>
                <w:webHidden/>
              </w:rPr>
              <w:fldChar w:fldCharType="begin"/>
            </w:r>
            <w:r w:rsidR="009E1B8B">
              <w:rPr>
                <w:noProof/>
                <w:webHidden/>
              </w:rPr>
              <w:instrText xml:space="preserve"> PAGEREF _Toc121214282 \h </w:instrText>
            </w:r>
            <w:r w:rsidR="009E1B8B">
              <w:rPr>
                <w:noProof/>
                <w:webHidden/>
              </w:rPr>
            </w:r>
            <w:r w:rsidR="009E1B8B">
              <w:rPr>
                <w:noProof/>
                <w:webHidden/>
              </w:rPr>
              <w:fldChar w:fldCharType="separate"/>
            </w:r>
            <w:r w:rsidR="009E1B8B">
              <w:rPr>
                <w:noProof/>
                <w:webHidden/>
              </w:rPr>
              <w:t>39</w:t>
            </w:r>
            <w:r w:rsidR="009E1B8B">
              <w:rPr>
                <w:noProof/>
                <w:webHidden/>
              </w:rPr>
              <w:fldChar w:fldCharType="end"/>
            </w:r>
          </w:hyperlink>
        </w:p>
        <w:p w14:paraId="17A92063" w14:textId="195F9BFE" w:rsidR="009E1B8B" w:rsidRDefault="002B0482">
          <w:pPr>
            <w:pStyle w:val="Sommario3"/>
            <w:rPr>
              <w:rFonts w:eastAsiaTheme="minorEastAsia"/>
              <w:noProof/>
              <w:lang w:eastAsia="it-IT"/>
            </w:rPr>
          </w:pPr>
          <w:hyperlink w:anchor="_Toc121214283" w:history="1">
            <w:r w:rsidR="009E1B8B" w:rsidRPr="00851F5B">
              <w:rPr>
                <w:rStyle w:val="Collegamentoipertestuale"/>
                <w:rFonts w:ascii="Bookman Old Style" w:hAnsi="Bookman Old Style"/>
                <w:b/>
                <w:bCs/>
                <w:noProof/>
              </w:rPr>
              <w:t>38.</w:t>
            </w:r>
            <w:r w:rsidR="009E1B8B">
              <w:rPr>
                <w:rFonts w:eastAsiaTheme="minorEastAsia"/>
                <w:noProof/>
                <w:lang w:eastAsia="it-IT"/>
              </w:rPr>
              <w:tab/>
            </w:r>
            <w:r w:rsidR="009E1B8B" w:rsidRPr="00851F5B">
              <w:rPr>
                <w:rStyle w:val="Collegamentoipertestuale"/>
                <w:rFonts w:ascii="Bookman Old Style" w:hAnsi="Bookman Old Style"/>
                <w:b/>
                <w:bCs/>
                <w:noProof/>
              </w:rPr>
              <w:t>Revisione della disciplina contabile delle anticipazioni di liquidità per gli enti in dissesto (art. 146)</w:t>
            </w:r>
            <w:r w:rsidR="009E1B8B">
              <w:rPr>
                <w:noProof/>
                <w:webHidden/>
              </w:rPr>
              <w:tab/>
            </w:r>
            <w:r w:rsidR="009E1B8B">
              <w:rPr>
                <w:noProof/>
                <w:webHidden/>
              </w:rPr>
              <w:fldChar w:fldCharType="begin"/>
            </w:r>
            <w:r w:rsidR="009E1B8B">
              <w:rPr>
                <w:noProof/>
                <w:webHidden/>
              </w:rPr>
              <w:instrText xml:space="preserve"> PAGEREF _Toc121214283 \h </w:instrText>
            </w:r>
            <w:r w:rsidR="009E1B8B">
              <w:rPr>
                <w:noProof/>
                <w:webHidden/>
              </w:rPr>
            </w:r>
            <w:r w:rsidR="009E1B8B">
              <w:rPr>
                <w:noProof/>
                <w:webHidden/>
              </w:rPr>
              <w:fldChar w:fldCharType="separate"/>
            </w:r>
            <w:r w:rsidR="009E1B8B">
              <w:rPr>
                <w:noProof/>
                <w:webHidden/>
              </w:rPr>
              <w:t>39</w:t>
            </w:r>
            <w:r w:rsidR="009E1B8B">
              <w:rPr>
                <w:noProof/>
                <w:webHidden/>
              </w:rPr>
              <w:fldChar w:fldCharType="end"/>
            </w:r>
          </w:hyperlink>
        </w:p>
        <w:p w14:paraId="4E4C4131" w14:textId="6A13AF79" w:rsidR="009E1B8B" w:rsidRDefault="002B0482">
          <w:pPr>
            <w:pStyle w:val="Sommario3"/>
            <w:rPr>
              <w:rFonts w:eastAsiaTheme="minorEastAsia"/>
              <w:noProof/>
              <w:lang w:eastAsia="it-IT"/>
            </w:rPr>
          </w:pPr>
          <w:hyperlink w:anchor="_Toc121214284" w:history="1">
            <w:r w:rsidR="009E1B8B" w:rsidRPr="00851F5B">
              <w:rPr>
                <w:rStyle w:val="Collegamentoipertestuale"/>
                <w:rFonts w:ascii="Bookman Old Style" w:hAnsi="Bookman Old Style"/>
                <w:b/>
                <w:bCs/>
                <w:noProof/>
              </w:rPr>
              <w:t>39.</w:t>
            </w:r>
            <w:r w:rsidR="009E1B8B">
              <w:rPr>
                <w:rFonts w:eastAsiaTheme="minorEastAsia"/>
                <w:noProof/>
                <w:lang w:eastAsia="it-IT"/>
              </w:rPr>
              <w:tab/>
            </w:r>
            <w:r w:rsidR="009E1B8B" w:rsidRPr="00851F5B">
              <w:rPr>
                <w:rStyle w:val="Collegamentoipertestuale"/>
                <w:rFonts w:ascii="Bookman Old Style" w:hAnsi="Bookman Old Style"/>
                <w:b/>
                <w:bCs/>
                <w:noProof/>
              </w:rPr>
              <w:t>Responsabilità in materia di notificazione digitale degli atti delle pubbliche amministrazioni</w:t>
            </w:r>
            <w:r w:rsidR="009E1B8B">
              <w:rPr>
                <w:noProof/>
                <w:webHidden/>
              </w:rPr>
              <w:tab/>
            </w:r>
            <w:r w:rsidR="009E1B8B">
              <w:rPr>
                <w:noProof/>
                <w:webHidden/>
              </w:rPr>
              <w:fldChar w:fldCharType="begin"/>
            </w:r>
            <w:r w:rsidR="009E1B8B">
              <w:rPr>
                <w:noProof/>
                <w:webHidden/>
              </w:rPr>
              <w:instrText xml:space="preserve"> PAGEREF _Toc121214284 \h </w:instrText>
            </w:r>
            <w:r w:rsidR="009E1B8B">
              <w:rPr>
                <w:noProof/>
                <w:webHidden/>
              </w:rPr>
            </w:r>
            <w:r w:rsidR="009E1B8B">
              <w:rPr>
                <w:noProof/>
                <w:webHidden/>
              </w:rPr>
              <w:fldChar w:fldCharType="separate"/>
            </w:r>
            <w:r w:rsidR="009E1B8B">
              <w:rPr>
                <w:noProof/>
                <w:webHidden/>
              </w:rPr>
              <w:t>41</w:t>
            </w:r>
            <w:r w:rsidR="009E1B8B">
              <w:rPr>
                <w:noProof/>
                <w:webHidden/>
              </w:rPr>
              <w:fldChar w:fldCharType="end"/>
            </w:r>
          </w:hyperlink>
        </w:p>
        <w:p w14:paraId="5E6DDCBA" w14:textId="4131B339" w:rsidR="009E1B8B" w:rsidRDefault="002B0482">
          <w:pPr>
            <w:pStyle w:val="Sommario3"/>
            <w:rPr>
              <w:rFonts w:eastAsiaTheme="minorEastAsia"/>
              <w:noProof/>
              <w:lang w:eastAsia="it-IT"/>
            </w:rPr>
          </w:pPr>
          <w:hyperlink w:anchor="_Toc121214285" w:history="1">
            <w:r w:rsidR="009E1B8B" w:rsidRPr="00851F5B">
              <w:rPr>
                <w:rStyle w:val="Collegamentoipertestuale"/>
                <w:rFonts w:ascii="Bookman Old Style" w:hAnsi="Bookman Old Style"/>
                <w:b/>
                <w:bCs/>
                <w:noProof/>
              </w:rPr>
              <w:t>40.</w:t>
            </w:r>
            <w:r w:rsidR="009E1B8B">
              <w:rPr>
                <w:rFonts w:eastAsiaTheme="minorEastAsia"/>
                <w:noProof/>
                <w:lang w:eastAsia="it-IT"/>
              </w:rPr>
              <w:tab/>
            </w:r>
            <w:r w:rsidR="009E1B8B" w:rsidRPr="00851F5B">
              <w:rPr>
                <w:rStyle w:val="Collegamentoipertestuale"/>
                <w:rFonts w:ascii="Bookman Old Style" w:hAnsi="Bookman Old Style"/>
                <w:b/>
                <w:bCs/>
                <w:noProof/>
              </w:rPr>
              <w:t>Proroga al 2025 dell’incentivazione al 100% della partecipazione comunale al recupero di gettito dei tributi erariali (art. 51)</w:t>
            </w:r>
            <w:r w:rsidR="009E1B8B">
              <w:rPr>
                <w:noProof/>
                <w:webHidden/>
              </w:rPr>
              <w:tab/>
            </w:r>
            <w:r w:rsidR="009E1B8B">
              <w:rPr>
                <w:noProof/>
                <w:webHidden/>
              </w:rPr>
              <w:fldChar w:fldCharType="begin"/>
            </w:r>
            <w:r w:rsidR="009E1B8B">
              <w:rPr>
                <w:noProof/>
                <w:webHidden/>
              </w:rPr>
              <w:instrText xml:space="preserve"> PAGEREF _Toc121214285 \h </w:instrText>
            </w:r>
            <w:r w:rsidR="009E1B8B">
              <w:rPr>
                <w:noProof/>
                <w:webHidden/>
              </w:rPr>
            </w:r>
            <w:r w:rsidR="009E1B8B">
              <w:rPr>
                <w:noProof/>
                <w:webHidden/>
              </w:rPr>
              <w:fldChar w:fldCharType="separate"/>
            </w:r>
            <w:r w:rsidR="009E1B8B">
              <w:rPr>
                <w:noProof/>
                <w:webHidden/>
              </w:rPr>
              <w:t>42</w:t>
            </w:r>
            <w:r w:rsidR="009E1B8B">
              <w:rPr>
                <w:noProof/>
                <w:webHidden/>
              </w:rPr>
              <w:fldChar w:fldCharType="end"/>
            </w:r>
          </w:hyperlink>
        </w:p>
        <w:p w14:paraId="37B9A2F0" w14:textId="08D5919E" w:rsidR="009E1B8B" w:rsidRDefault="002B0482">
          <w:pPr>
            <w:pStyle w:val="Sommario3"/>
            <w:rPr>
              <w:rFonts w:eastAsiaTheme="minorEastAsia"/>
              <w:noProof/>
              <w:lang w:eastAsia="it-IT"/>
            </w:rPr>
          </w:pPr>
          <w:hyperlink w:anchor="_Toc121214286" w:history="1">
            <w:r w:rsidR="009E1B8B" w:rsidRPr="00851F5B">
              <w:rPr>
                <w:rStyle w:val="Collegamentoipertestuale"/>
                <w:rFonts w:ascii="Bookman Old Style" w:hAnsi="Bookman Old Style"/>
                <w:b/>
                <w:bCs/>
                <w:noProof/>
              </w:rPr>
              <w:t>41.</w:t>
            </w:r>
            <w:r w:rsidR="009E1B8B">
              <w:rPr>
                <w:rFonts w:eastAsiaTheme="minorEastAsia"/>
                <w:noProof/>
                <w:lang w:eastAsia="it-IT"/>
              </w:rPr>
              <w:tab/>
            </w:r>
            <w:r w:rsidR="009E1B8B" w:rsidRPr="00851F5B">
              <w:rPr>
                <w:rStyle w:val="Collegamentoipertestuale"/>
                <w:rFonts w:ascii="Bookman Old Style" w:hAnsi="Bookman Old Style"/>
                <w:b/>
                <w:bCs/>
                <w:noProof/>
              </w:rPr>
              <w:t>Chiarimento interpretativo della disciplina dell’ipoteca in fase di riscossione coattiva delle entrate (art. 51)</w:t>
            </w:r>
            <w:r w:rsidR="009E1B8B">
              <w:rPr>
                <w:noProof/>
                <w:webHidden/>
              </w:rPr>
              <w:tab/>
            </w:r>
            <w:r w:rsidR="009E1B8B">
              <w:rPr>
                <w:noProof/>
                <w:webHidden/>
              </w:rPr>
              <w:fldChar w:fldCharType="begin"/>
            </w:r>
            <w:r w:rsidR="009E1B8B">
              <w:rPr>
                <w:noProof/>
                <w:webHidden/>
              </w:rPr>
              <w:instrText xml:space="preserve"> PAGEREF _Toc121214286 \h </w:instrText>
            </w:r>
            <w:r w:rsidR="009E1B8B">
              <w:rPr>
                <w:noProof/>
                <w:webHidden/>
              </w:rPr>
            </w:r>
            <w:r w:rsidR="009E1B8B">
              <w:rPr>
                <w:noProof/>
                <w:webHidden/>
              </w:rPr>
              <w:fldChar w:fldCharType="separate"/>
            </w:r>
            <w:r w:rsidR="009E1B8B">
              <w:rPr>
                <w:noProof/>
                <w:webHidden/>
              </w:rPr>
              <w:t>42</w:t>
            </w:r>
            <w:r w:rsidR="009E1B8B">
              <w:rPr>
                <w:noProof/>
                <w:webHidden/>
              </w:rPr>
              <w:fldChar w:fldCharType="end"/>
            </w:r>
          </w:hyperlink>
        </w:p>
        <w:p w14:paraId="67ACA315" w14:textId="229203C5" w:rsidR="009E1B8B" w:rsidRDefault="002B0482">
          <w:pPr>
            <w:pStyle w:val="Sommario1"/>
            <w:rPr>
              <w:rFonts w:asciiTheme="minorHAnsi" w:eastAsiaTheme="minorEastAsia" w:hAnsiTheme="minorHAnsi" w:cstheme="minorBidi"/>
              <w:b w:val="0"/>
              <w:bCs w:val="0"/>
              <w:sz w:val="22"/>
              <w:szCs w:val="22"/>
            </w:rPr>
          </w:pPr>
          <w:hyperlink w:anchor="_Toc121214287" w:history="1">
            <w:r w:rsidR="009E1B8B" w:rsidRPr="00851F5B">
              <w:rPr>
                <w:rStyle w:val="Collegamentoipertestuale"/>
              </w:rPr>
              <w:t>RIGENERAZIONE URBANA</w:t>
            </w:r>
            <w:r w:rsidR="009E1B8B">
              <w:rPr>
                <w:webHidden/>
              </w:rPr>
              <w:tab/>
            </w:r>
            <w:r w:rsidR="009E1B8B">
              <w:rPr>
                <w:webHidden/>
              </w:rPr>
              <w:fldChar w:fldCharType="begin"/>
            </w:r>
            <w:r w:rsidR="009E1B8B">
              <w:rPr>
                <w:webHidden/>
              </w:rPr>
              <w:instrText xml:space="preserve"> PAGEREF _Toc121214287 \h </w:instrText>
            </w:r>
            <w:r w:rsidR="009E1B8B">
              <w:rPr>
                <w:webHidden/>
              </w:rPr>
            </w:r>
            <w:r w:rsidR="009E1B8B">
              <w:rPr>
                <w:webHidden/>
              </w:rPr>
              <w:fldChar w:fldCharType="separate"/>
            </w:r>
            <w:r w:rsidR="009E1B8B">
              <w:rPr>
                <w:webHidden/>
              </w:rPr>
              <w:t>43</w:t>
            </w:r>
            <w:r w:rsidR="009E1B8B">
              <w:rPr>
                <w:webHidden/>
              </w:rPr>
              <w:fldChar w:fldCharType="end"/>
            </w:r>
          </w:hyperlink>
        </w:p>
        <w:p w14:paraId="64F94AEC" w14:textId="4A42618D" w:rsidR="009E1B8B" w:rsidRDefault="002B0482">
          <w:pPr>
            <w:pStyle w:val="Sommario3"/>
            <w:rPr>
              <w:rFonts w:eastAsiaTheme="minorEastAsia"/>
              <w:noProof/>
              <w:lang w:eastAsia="it-IT"/>
            </w:rPr>
          </w:pPr>
          <w:hyperlink w:anchor="_Toc121214288" w:history="1">
            <w:r w:rsidR="009E1B8B" w:rsidRPr="00851F5B">
              <w:rPr>
                <w:rStyle w:val="Collegamentoipertestuale"/>
                <w:rFonts w:ascii="Bookman Old Style" w:hAnsi="Bookman Old Style"/>
                <w:b/>
                <w:bCs/>
                <w:noProof/>
              </w:rPr>
              <w:t>42.</w:t>
            </w:r>
            <w:r w:rsidR="009E1B8B">
              <w:rPr>
                <w:rFonts w:eastAsiaTheme="minorEastAsia"/>
                <w:noProof/>
                <w:lang w:eastAsia="it-IT"/>
              </w:rPr>
              <w:tab/>
            </w:r>
            <w:r w:rsidR="009E1B8B" w:rsidRPr="00851F5B">
              <w:rPr>
                <w:rStyle w:val="Collegamentoipertestuale"/>
                <w:rFonts w:ascii="Bookman Old Style" w:hAnsi="Bookman Old Style"/>
                <w:b/>
                <w:bCs/>
                <w:noProof/>
              </w:rPr>
              <w:t>Fondo rigenerazione ai Comuni capoluogo sede di città metropolitane.</w:t>
            </w:r>
            <w:r w:rsidR="009E1B8B">
              <w:rPr>
                <w:noProof/>
                <w:webHidden/>
              </w:rPr>
              <w:tab/>
            </w:r>
            <w:r w:rsidR="009E1B8B">
              <w:rPr>
                <w:noProof/>
                <w:webHidden/>
              </w:rPr>
              <w:fldChar w:fldCharType="begin"/>
            </w:r>
            <w:r w:rsidR="009E1B8B">
              <w:rPr>
                <w:noProof/>
                <w:webHidden/>
              </w:rPr>
              <w:instrText xml:space="preserve"> PAGEREF _Toc121214288 \h </w:instrText>
            </w:r>
            <w:r w:rsidR="009E1B8B">
              <w:rPr>
                <w:noProof/>
                <w:webHidden/>
              </w:rPr>
            </w:r>
            <w:r w:rsidR="009E1B8B">
              <w:rPr>
                <w:noProof/>
                <w:webHidden/>
              </w:rPr>
              <w:fldChar w:fldCharType="separate"/>
            </w:r>
            <w:r w:rsidR="009E1B8B">
              <w:rPr>
                <w:noProof/>
                <w:webHidden/>
              </w:rPr>
              <w:t>43</w:t>
            </w:r>
            <w:r w:rsidR="009E1B8B">
              <w:rPr>
                <w:noProof/>
                <w:webHidden/>
              </w:rPr>
              <w:fldChar w:fldCharType="end"/>
            </w:r>
          </w:hyperlink>
        </w:p>
        <w:p w14:paraId="4ABC27F6" w14:textId="79AC6F94" w:rsidR="009E1B8B" w:rsidRDefault="002B0482">
          <w:pPr>
            <w:pStyle w:val="Sommario1"/>
            <w:rPr>
              <w:rFonts w:asciiTheme="minorHAnsi" w:eastAsiaTheme="minorEastAsia" w:hAnsiTheme="minorHAnsi" w:cstheme="minorBidi"/>
              <w:b w:val="0"/>
              <w:bCs w:val="0"/>
              <w:sz w:val="22"/>
              <w:szCs w:val="22"/>
            </w:rPr>
          </w:pPr>
          <w:hyperlink w:anchor="_Toc121214289" w:history="1">
            <w:r w:rsidR="009E1B8B" w:rsidRPr="00851F5B">
              <w:rPr>
                <w:rStyle w:val="Collegamentoipertestuale"/>
              </w:rPr>
              <w:t>ATTIVITÀ PRODUTTIVE</w:t>
            </w:r>
            <w:r w:rsidR="009E1B8B">
              <w:rPr>
                <w:webHidden/>
              </w:rPr>
              <w:tab/>
            </w:r>
            <w:r w:rsidR="009E1B8B">
              <w:rPr>
                <w:webHidden/>
              </w:rPr>
              <w:fldChar w:fldCharType="begin"/>
            </w:r>
            <w:r w:rsidR="009E1B8B">
              <w:rPr>
                <w:webHidden/>
              </w:rPr>
              <w:instrText xml:space="preserve"> PAGEREF _Toc121214289 \h </w:instrText>
            </w:r>
            <w:r w:rsidR="009E1B8B">
              <w:rPr>
                <w:webHidden/>
              </w:rPr>
            </w:r>
            <w:r w:rsidR="009E1B8B">
              <w:rPr>
                <w:webHidden/>
              </w:rPr>
              <w:fldChar w:fldCharType="separate"/>
            </w:r>
            <w:r w:rsidR="009E1B8B">
              <w:rPr>
                <w:webHidden/>
              </w:rPr>
              <w:t>43</w:t>
            </w:r>
            <w:r w:rsidR="009E1B8B">
              <w:rPr>
                <w:webHidden/>
              </w:rPr>
              <w:fldChar w:fldCharType="end"/>
            </w:r>
          </w:hyperlink>
        </w:p>
        <w:p w14:paraId="2F55D53F" w14:textId="0CD987F1" w:rsidR="009E1B8B" w:rsidRDefault="002B0482">
          <w:pPr>
            <w:pStyle w:val="Sommario3"/>
            <w:rPr>
              <w:rFonts w:eastAsiaTheme="minorEastAsia"/>
              <w:noProof/>
              <w:lang w:eastAsia="it-IT"/>
            </w:rPr>
          </w:pPr>
          <w:hyperlink w:anchor="_Toc121214290" w:history="1">
            <w:r w:rsidR="009E1B8B" w:rsidRPr="00851F5B">
              <w:rPr>
                <w:rStyle w:val="Collegamentoipertestuale"/>
                <w:rFonts w:ascii="Bookman Old Style" w:hAnsi="Bookman Old Style"/>
                <w:b/>
                <w:bCs/>
                <w:noProof/>
              </w:rPr>
              <w:t>43.</w:t>
            </w:r>
            <w:r w:rsidR="009E1B8B">
              <w:rPr>
                <w:rFonts w:eastAsiaTheme="minorEastAsia"/>
                <w:noProof/>
                <w:lang w:eastAsia="it-IT"/>
              </w:rPr>
              <w:tab/>
            </w:r>
            <w:r w:rsidR="009E1B8B" w:rsidRPr="00851F5B">
              <w:rPr>
                <w:rStyle w:val="Collegamentoipertestuale"/>
                <w:rFonts w:ascii="Bookman Old Style" w:hAnsi="Bookman Old Style"/>
                <w:b/>
                <w:bCs/>
                <w:noProof/>
              </w:rPr>
              <w:t>Sostegno pubblici esercizi</w:t>
            </w:r>
            <w:r w:rsidR="009E1B8B">
              <w:rPr>
                <w:noProof/>
                <w:webHidden/>
              </w:rPr>
              <w:tab/>
            </w:r>
            <w:r w:rsidR="009E1B8B">
              <w:rPr>
                <w:noProof/>
                <w:webHidden/>
              </w:rPr>
              <w:fldChar w:fldCharType="begin"/>
            </w:r>
            <w:r w:rsidR="009E1B8B">
              <w:rPr>
                <w:noProof/>
                <w:webHidden/>
              </w:rPr>
              <w:instrText xml:space="preserve"> PAGEREF _Toc121214290 \h </w:instrText>
            </w:r>
            <w:r w:rsidR="009E1B8B">
              <w:rPr>
                <w:noProof/>
                <w:webHidden/>
              </w:rPr>
            </w:r>
            <w:r w:rsidR="009E1B8B">
              <w:rPr>
                <w:noProof/>
                <w:webHidden/>
              </w:rPr>
              <w:fldChar w:fldCharType="separate"/>
            </w:r>
            <w:r w:rsidR="009E1B8B">
              <w:rPr>
                <w:noProof/>
                <w:webHidden/>
              </w:rPr>
              <w:t>43</w:t>
            </w:r>
            <w:r w:rsidR="009E1B8B">
              <w:rPr>
                <w:noProof/>
                <w:webHidden/>
              </w:rPr>
              <w:fldChar w:fldCharType="end"/>
            </w:r>
          </w:hyperlink>
        </w:p>
        <w:p w14:paraId="0AE2934D" w14:textId="4EC8CF69" w:rsidR="009E1B8B" w:rsidRDefault="002B0482">
          <w:pPr>
            <w:pStyle w:val="Sommario1"/>
            <w:rPr>
              <w:rFonts w:asciiTheme="minorHAnsi" w:eastAsiaTheme="minorEastAsia" w:hAnsiTheme="minorHAnsi" w:cstheme="minorBidi"/>
              <w:b w:val="0"/>
              <w:bCs w:val="0"/>
              <w:sz w:val="22"/>
              <w:szCs w:val="22"/>
            </w:rPr>
          </w:pPr>
          <w:hyperlink w:anchor="_Toc121214291" w:history="1">
            <w:r w:rsidR="009E1B8B" w:rsidRPr="00851F5B">
              <w:rPr>
                <w:rStyle w:val="Collegamentoipertestuale"/>
              </w:rPr>
              <w:t>CANONE UNICO</w:t>
            </w:r>
            <w:r w:rsidR="009E1B8B">
              <w:rPr>
                <w:webHidden/>
              </w:rPr>
              <w:tab/>
            </w:r>
            <w:r w:rsidR="009E1B8B">
              <w:rPr>
                <w:webHidden/>
              </w:rPr>
              <w:fldChar w:fldCharType="begin"/>
            </w:r>
            <w:r w:rsidR="009E1B8B">
              <w:rPr>
                <w:webHidden/>
              </w:rPr>
              <w:instrText xml:space="preserve"> PAGEREF _Toc121214291 \h </w:instrText>
            </w:r>
            <w:r w:rsidR="009E1B8B">
              <w:rPr>
                <w:webHidden/>
              </w:rPr>
            </w:r>
            <w:r w:rsidR="009E1B8B">
              <w:rPr>
                <w:webHidden/>
              </w:rPr>
              <w:fldChar w:fldCharType="separate"/>
            </w:r>
            <w:r w:rsidR="009E1B8B">
              <w:rPr>
                <w:webHidden/>
              </w:rPr>
              <w:t>44</w:t>
            </w:r>
            <w:r w:rsidR="009E1B8B">
              <w:rPr>
                <w:webHidden/>
              </w:rPr>
              <w:fldChar w:fldCharType="end"/>
            </w:r>
          </w:hyperlink>
        </w:p>
        <w:p w14:paraId="3139BA67" w14:textId="5C3267D9" w:rsidR="009E1B8B" w:rsidRDefault="002B0482">
          <w:pPr>
            <w:pStyle w:val="Sommario3"/>
            <w:rPr>
              <w:rFonts w:eastAsiaTheme="minorEastAsia"/>
              <w:noProof/>
              <w:lang w:eastAsia="it-IT"/>
            </w:rPr>
          </w:pPr>
          <w:hyperlink w:anchor="_Toc121214292" w:history="1">
            <w:r w:rsidR="009E1B8B" w:rsidRPr="00851F5B">
              <w:rPr>
                <w:rStyle w:val="Collegamentoipertestuale"/>
                <w:rFonts w:ascii="Bookman Old Style" w:hAnsi="Bookman Old Style"/>
                <w:b/>
                <w:bCs/>
                <w:noProof/>
              </w:rPr>
              <w:t>44.</w:t>
            </w:r>
            <w:r w:rsidR="009E1B8B">
              <w:rPr>
                <w:rFonts w:eastAsiaTheme="minorEastAsia"/>
                <w:noProof/>
                <w:lang w:eastAsia="it-IT"/>
              </w:rPr>
              <w:tab/>
            </w:r>
            <w:r w:rsidR="009E1B8B" w:rsidRPr="00851F5B">
              <w:rPr>
                <w:rStyle w:val="Collegamentoipertestuale"/>
                <w:rFonts w:ascii="Bookman Old Style" w:hAnsi="Bookman Old Style"/>
                <w:b/>
                <w:bCs/>
                <w:noProof/>
              </w:rPr>
              <w:t>Canone unico-Determinazione tariffe massime</w:t>
            </w:r>
            <w:r w:rsidR="009E1B8B" w:rsidRPr="00851F5B">
              <w:rPr>
                <w:rStyle w:val="Collegamentoipertestuale"/>
                <w:rFonts w:ascii="Times New Roman" w:hAnsi="Times New Roman" w:cs="Times New Roman"/>
                <w:b/>
                <w:bCs/>
                <w:noProof/>
              </w:rPr>
              <w:t>   </w:t>
            </w:r>
            <w:r w:rsidR="009E1B8B">
              <w:rPr>
                <w:noProof/>
                <w:webHidden/>
              </w:rPr>
              <w:tab/>
            </w:r>
            <w:r w:rsidR="009E1B8B">
              <w:rPr>
                <w:noProof/>
                <w:webHidden/>
              </w:rPr>
              <w:fldChar w:fldCharType="begin"/>
            </w:r>
            <w:r w:rsidR="009E1B8B">
              <w:rPr>
                <w:noProof/>
                <w:webHidden/>
              </w:rPr>
              <w:instrText xml:space="preserve"> PAGEREF _Toc121214292 \h </w:instrText>
            </w:r>
            <w:r w:rsidR="009E1B8B">
              <w:rPr>
                <w:noProof/>
                <w:webHidden/>
              </w:rPr>
            </w:r>
            <w:r w:rsidR="009E1B8B">
              <w:rPr>
                <w:noProof/>
                <w:webHidden/>
              </w:rPr>
              <w:fldChar w:fldCharType="separate"/>
            </w:r>
            <w:r w:rsidR="009E1B8B">
              <w:rPr>
                <w:noProof/>
                <w:webHidden/>
              </w:rPr>
              <w:t>44</w:t>
            </w:r>
            <w:r w:rsidR="009E1B8B">
              <w:rPr>
                <w:noProof/>
                <w:webHidden/>
              </w:rPr>
              <w:fldChar w:fldCharType="end"/>
            </w:r>
          </w:hyperlink>
        </w:p>
        <w:p w14:paraId="0EB0DB8F" w14:textId="4B58016E" w:rsidR="009E1B8B" w:rsidRDefault="002B0482">
          <w:pPr>
            <w:pStyle w:val="Sommario3"/>
            <w:rPr>
              <w:rFonts w:eastAsiaTheme="minorEastAsia"/>
              <w:noProof/>
              <w:lang w:eastAsia="it-IT"/>
            </w:rPr>
          </w:pPr>
          <w:hyperlink w:anchor="_Toc121214293" w:history="1">
            <w:r w:rsidR="009E1B8B" w:rsidRPr="00851F5B">
              <w:rPr>
                <w:rStyle w:val="Collegamentoipertestuale"/>
                <w:rFonts w:ascii="Bookman Old Style" w:hAnsi="Bookman Old Style"/>
                <w:b/>
                <w:bCs/>
                <w:noProof/>
              </w:rPr>
              <w:t>45.</w:t>
            </w:r>
            <w:r w:rsidR="009E1B8B">
              <w:rPr>
                <w:rFonts w:eastAsiaTheme="minorEastAsia"/>
                <w:noProof/>
                <w:lang w:eastAsia="it-IT"/>
              </w:rPr>
              <w:tab/>
            </w:r>
            <w:r w:rsidR="009E1B8B" w:rsidRPr="00851F5B">
              <w:rPr>
                <w:rStyle w:val="Collegamentoipertestuale"/>
                <w:rFonts w:ascii="Bookman Old Style" w:hAnsi="Bookman Old Style"/>
                <w:b/>
                <w:bCs/>
                <w:noProof/>
              </w:rPr>
              <w:t>Altre modifiche al Canone unico (L. 160/2019).</w:t>
            </w:r>
            <w:r w:rsidR="009E1B8B">
              <w:rPr>
                <w:noProof/>
                <w:webHidden/>
              </w:rPr>
              <w:tab/>
            </w:r>
            <w:r w:rsidR="009E1B8B">
              <w:rPr>
                <w:noProof/>
                <w:webHidden/>
              </w:rPr>
              <w:fldChar w:fldCharType="begin"/>
            </w:r>
            <w:r w:rsidR="009E1B8B">
              <w:rPr>
                <w:noProof/>
                <w:webHidden/>
              </w:rPr>
              <w:instrText xml:space="preserve"> PAGEREF _Toc121214293 \h </w:instrText>
            </w:r>
            <w:r w:rsidR="009E1B8B">
              <w:rPr>
                <w:noProof/>
                <w:webHidden/>
              </w:rPr>
            </w:r>
            <w:r w:rsidR="009E1B8B">
              <w:rPr>
                <w:noProof/>
                <w:webHidden/>
              </w:rPr>
              <w:fldChar w:fldCharType="separate"/>
            </w:r>
            <w:r w:rsidR="009E1B8B">
              <w:rPr>
                <w:noProof/>
                <w:webHidden/>
              </w:rPr>
              <w:t>44</w:t>
            </w:r>
            <w:r w:rsidR="009E1B8B">
              <w:rPr>
                <w:noProof/>
                <w:webHidden/>
              </w:rPr>
              <w:fldChar w:fldCharType="end"/>
            </w:r>
          </w:hyperlink>
        </w:p>
        <w:p w14:paraId="31E3C422" w14:textId="47723E4B" w:rsidR="009E1B8B" w:rsidRDefault="002B0482">
          <w:pPr>
            <w:pStyle w:val="Sommario1"/>
            <w:rPr>
              <w:rFonts w:asciiTheme="minorHAnsi" w:eastAsiaTheme="minorEastAsia" w:hAnsiTheme="minorHAnsi" w:cstheme="minorBidi"/>
              <w:b w:val="0"/>
              <w:bCs w:val="0"/>
              <w:sz w:val="22"/>
              <w:szCs w:val="22"/>
            </w:rPr>
          </w:pPr>
          <w:hyperlink w:anchor="_Toc121214294" w:history="1">
            <w:r w:rsidR="009E1B8B" w:rsidRPr="00851F5B">
              <w:rPr>
                <w:rStyle w:val="Collegamentoipertestuale"/>
              </w:rPr>
              <w:t>PERSONALE</w:t>
            </w:r>
            <w:r w:rsidR="009E1B8B">
              <w:rPr>
                <w:webHidden/>
              </w:rPr>
              <w:tab/>
            </w:r>
            <w:r w:rsidR="009E1B8B">
              <w:rPr>
                <w:webHidden/>
              </w:rPr>
              <w:fldChar w:fldCharType="begin"/>
            </w:r>
            <w:r w:rsidR="009E1B8B">
              <w:rPr>
                <w:webHidden/>
              </w:rPr>
              <w:instrText xml:space="preserve"> PAGEREF _Toc121214294 \h </w:instrText>
            </w:r>
            <w:r w:rsidR="009E1B8B">
              <w:rPr>
                <w:webHidden/>
              </w:rPr>
            </w:r>
            <w:r w:rsidR="009E1B8B">
              <w:rPr>
                <w:webHidden/>
              </w:rPr>
              <w:fldChar w:fldCharType="separate"/>
            </w:r>
            <w:r w:rsidR="009E1B8B">
              <w:rPr>
                <w:webHidden/>
              </w:rPr>
              <w:t>46</w:t>
            </w:r>
            <w:r w:rsidR="009E1B8B">
              <w:rPr>
                <w:webHidden/>
              </w:rPr>
              <w:fldChar w:fldCharType="end"/>
            </w:r>
          </w:hyperlink>
        </w:p>
        <w:p w14:paraId="09E81543" w14:textId="12873F60" w:rsidR="009E1B8B" w:rsidRDefault="002B0482">
          <w:pPr>
            <w:pStyle w:val="Sommario3"/>
            <w:rPr>
              <w:rFonts w:eastAsiaTheme="minorEastAsia"/>
              <w:noProof/>
              <w:lang w:eastAsia="it-IT"/>
            </w:rPr>
          </w:pPr>
          <w:hyperlink w:anchor="_Toc121214295" w:history="1">
            <w:r w:rsidR="009E1B8B" w:rsidRPr="00851F5B">
              <w:rPr>
                <w:rStyle w:val="Collegamentoipertestuale"/>
                <w:rFonts w:ascii="Bookman Old Style" w:hAnsi="Bookman Old Style"/>
                <w:b/>
                <w:bCs/>
                <w:noProof/>
              </w:rPr>
              <w:t>46.</w:t>
            </w:r>
            <w:r w:rsidR="009E1B8B">
              <w:rPr>
                <w:rFonts w:eastAsiaTheme="minorEastAsia"/>
                <w:noProof/>
                <w:lang w:eastAsia="it-IT"/>
              </w:rPr>
              <w:tab/>
            </w:r>
            <w:r w:rsidR="009E1B8B" w:rsidRPr="00851F5B">
              <w:rPr>
                <w:rStyle w:val="Collegamentoipertestuale"/>
                <w:rFonts w:ascii="Bookman Old Style" w:hAnsi="Bookman Old Style"/>
                <w:b/>
                <w:bCs/>
                <w:noProof/>
              </w:rPr>
              <w:t>Assunzioni a tempo determinato per l’attuazione dei progetti del PNRR</w:t>
            </w:r>
            <w:r w:rsidR="009E1B8B">
              <w:rPr>
                <w:noProof/>
                <w:webHidden/>
              </w:rPr>
              <w:tab/>
            </w:r>
            <w:r w:rsidR="009E1B8B">
              <w:rPr>
                <w:noProof/>
                <w:webHidden/>
              </w:rPr>
              <w:fldChar w:fldCharType="begin"/>
            </w:r>
            <w:r w:rsidR="009E1B8B">
              <w:rPr>
                <w:noProof/>
                <w:webHidden/>
              </w:rPr>
              <w:instrText xml:space="preserve"> PAGEREF _Toc121214295 \h </w:instrText>
            </w:r>
            <w:r w:rsidR="009E1B8B">
              <w:rPr>
                <w:noProof/>
                <w:webHidden/>
              </w:rPr>
            </w:r>
            <w:r w:rsidR="009E1B8B">
              <w:rPr>
                <w:noProof/>
                <w:webHidden/>
              </w:rPr>
              <w:fldChar w:fldCharType="separate"/>
            </w:r>
            <w:r w:rsidR="009E1B8B">
              <w:rPr>
                <w:noProof/>
                <w:webHidden/>
              </w:rPr>
              <w:t>46</w:t>
            </w:r>
            <w:r w:rsidR="009E1B8B">
              <w:rPr>
                <w:noProof/>
                <w:webHidden/>
              </w:rPr>
              <w:fldChar w:fldCharType="end"/>
            </w:r>
          </w:hyperlink>
        </w:p>
        <w:p w14:paraId="278454B4" w14:textId="0F6E7896" w:rsidR="009E1B8B" w:rsidRDefault="002B0482">
          <w:pPr>
            <w:pStyle w:val="Sommario3"/>
            <w:rPr>
              <w:rFonts w:eastAsiaTheme="minorEastAsia"/>
              <w:noProof/>
              <w:lang w:eastAsia="it-IT"/>
            </w:rPr>
          </w:pPr>
          <w:hyperlink w:anchor="_Toc121214296" w:history="1">
            <w:r w:rsidR="009E1B8B" w:rsidRPr="00851F5B">
              <w:rPr>
                <w:rStyle w:val="Collegamentoipertestuale"/>
                <w:rFonts w:ascii="Bookman Old Style" w:hAnsi="Bookman Old Style"/>
                <w:b/>
                <w:bCs/>
                <w:noProof/>
              </w:rPr>
              <w:t>47.</w:t>
            </w:r>
            <w:r w:rsidR="009E1B8B">
              <w:rPr>
                <w:rFonts w:eastAsiaTheme="minorEastAsia"/>
                <w:noProof/>
                <w:lang w:eastAsia="it-IT"/>
              </w:rPr>
              <w:tab/>
            </w:r>
            <w:r w:rsidR="009E1B8B" w:rsidRPr="00851F5B">
              <w:rPr>
                <w:rStyle w:val="Collegamentoipertestuale"/>
                <w:rFonts w:ascii="Bookman Old Style" w:hAnsi="Bookman Old Style"/>
                <w:b/>
                <w:bCs/>
                <w:noProof/>
              </w:rPr>
              <w:t>Deroghe incarichi dirigenziali a tempo determinato enti in dissesto o in situazioni strutturalmente deficitarie</w:t>
            </w:r>
            <w:r w:rsidR="009E1B8B">
              <w:rPr>
                <w:noProof/>
                <w:webHidden/>
              </w:rPr>
              <w:tab/>
            </w:r>
            <w:r w:rsidR="009E1B8B">
              <w:rPr>
                <w:noProof/>
                <w:webHidden/>
              </w:rPr>
              <w:fldChar w:fldCharType="begin"/>
            </w:r>
            <w:r w:rsidR="009E1B8B">
              <w:rPr>
                <w:noProof/>
                <w:webHidden/>
              </w:rPr>
              <w:instrText xml:space="preserve"> PAGEREF _Toc121214296 \h </w:instrText>
            </w:r>
            <w:r w:rsidR="009E1B8B">
              <w:rPr>
                <w:noProof/>
                <w:webHidden/>
              </w:rPr>
            </w:r>
            <w:r w:rsidR="009E1B8B">
              <w:rPr>
                <w:noProof/>
                <w:webHidden/>
              </w:rPr>
              <w:fldChar w:fldCharType="separate"/>
            </w:r>
            <w:r w:rsidR="009E1B8B">
              <w:rPr>
                <w:noProof/>
                <w:webHidden/>
              </w:rPr>
              <w:t>46</w:t>
            </w:r>
            <w:r w:rsidR="009E1B8B">
              <w:rPr>
                <w:noProof/>
                <w:webHidden/>
              </w:rPr>
              <w:fldChar w:fldCharType="end"/>
            </w:r>
          </w:hyperlink>
        </w:p>
        <w:p w14:paraId="1AB23B0F" w14:textId="5BA339C9" w:rsidR="009E1B8B" w:rsidRDefault="002B0482">
          <w:pPr>
            <w:pStyle w:val="Sommario3"/>
            <w:rPr>
              <w:rFonts w:eastAsiaTheme="minorEastAsia"/>
              <w:noProof/>
              <w:lang w:eastAsia="it-IT"/>
            </w:rPr>
          </w:pPr>
          <w:hyperlink w:anchor="_Toc121214297" w:history="1">
            <w:r w:rsidR="009E1B8B" w:rsidRPr="00851F5B">
              <w:rPr>
                <w:rStyle w:val="Collegamentoipertestuale"/>
                <w:rFonts w:ascii="Bookman Old Style" w:hAnsi="Bookman Old Style"/>
                <w:b/>
                <w:bCs/>
                <w:noProof/>
              </w:rPr>
              <w:t>48.</w:t>
            </w:r>
            <w:r w:rsidR="009E1B8B">
              <w:rPr>
                <w:rFonts w:eastAsiaTheme="minorEastAsia"/>
                <w:noProof/>
                <w:lang w:eastAsia="it-IT"/>
              </w:rPr>
              <w:tab/>
            </w:r>
            <w:r w:rsidR="009E1B8B" w:rsidRPr="00851F5B">
              <w:rPr>
                <w:rStyle w:val="Collegamentoipertestuale"/>
                <w:rFonts w:ascii="Bookman Old Style" w:hAnsi="Bookman Old Style"/>
                <w:b/>
                <w:bCs/>
                <w:noProof/>
              </w:rPr>
              <w:t>Disposizioni in materia di conferimento di incarichi per l’attuazione del PNRR</w:t>
            </w:r>
            <w:r w:rsidR="009E1B8B">
              <w:rPr>
                <w:noProof/>
                <w:webHidden/>
              </w:rPr>
              <w:tab/>
            </w:r>
            <w:r w:rsidR="009E1B8B">
              <w:rPr>
                <w:noProof/>
                <w:webHidden/>
              </w:rPr>
              <w:fldChar w:fldCharType="begin"/>
            </w:r>
            <w:r w:rsidR="009E1B8B">
              <w:rPr>
                <w:noProof/>
                <w:webHidden/>
              </w:rPr>
              <w:instrText xml:space="preserve"> PAGEREF _Toc121214297 \h </w:instrText>
            </w:r>
            <w:r w:rsidR="009E1B8B">
              <w:rPr>
                <w:noProof/>
                <w:webHidden/>
              </w:rPr>
            </w:r>
            <w:r w:rsidR="009E1B8B">
              <w:rPr>
                <w:noProof/>
                <w:webHidden/>
              </w:rPr>
              <w:fldChar w:fldCharType="separate"/>
            </w:r>
            <w:r w:rsidR="009E1B8B">
              <w:rPr>
                <w:noProof/>
                <w:webHidden/>
              </w:rPr>
              <w:t>47</w:t>
            </w:r>
            <w:r w:rsidR="009E1B8B">
              <w:rPr>
                <w:noProof/>
                <w:webHidden/>
              </w:rPr>
              <w:fldChar w:fldCharType="end"/>
            </w:r>
          </w:hyperlink>
        </w:p>
        <w:p w14:paraId="429074BB" w14:textId="493E4F82" w:rsidR="009E1B8B" w:rsidRDefault="002B0482">
          <w:pPr>
            <w:pStyle w:val="Sommario3"/>
            <w:rPr>
              <w:rFonts w:eastAsiaTheme="minorEastAsia"/>
              <w:noProof/>
              <w:lang w:eastAsia="it-IT"/>
            </w:rPr>
          </w:pPr>
          <w:hyperlink w:anchor="_Toc121214298" w:history="1">
            <w:r w:rsidR="009E1B8B" w:rsidRPr="00851F5B">
              <w:rPr>
                <w:rStyle w:val="Collegamentoipertestuale"/>
                <w:rFonts w:ascii="Bookman Old Style" w:hAnsi="Bookman Old Style"/>
                <w:b/>
                <w:bCs/>
                <w:noProof/>
              </w:rPr>
              <w:t>49.</w:t>
            </w:r>
            <w:r w:rsidR="009E1B8B">
              <w:rPr>
                <w:rFonts w:eastAsiaTheme="minorEastAsia"/>
                <w:noProof/>
                <w:lang w:eastAsia="it-IT"/>
              </w:rPr>
              <w:tab/>
            </w:r>
            <w:r w:rsidR="009E1B8B" w:rsidRPr="00851F5B">
              <w:rPr>
                <w:rStyle w:val="Collegamentoipertestuale"/>
                <w:rFonts w:ascii="Bookman Old Style" w:hAnsi="Bookman Old Style"/>
                <w:b/>
                <w:bCs/>
                <w:noProof/>
              </w:rPr>
              <w:t>Personale dei piccoli comuni: utilizzo da parte di altre amministrazioni</w:t>
            </w:r>
            <w:r w:rsidR="009E1B8B">
              <w:rPr>
                <w:noProof/>
                <w:webHidden/>
              </w:rPr>
              <w:tab/>
            </w:r>
            <w:r w:rsidR="009E1B8B">
              <w:rPr>
                <w:noProof/>
                <w:webHidden/>
              </w:rPr>
              <w:fldChar w:fldCharType="begin"/>
            </w:r>
            <w:r w:rsidR="009E1B8B">
              <w:rPr>
                <w:noProof/>
                <w:webHidden/>
              </w:rPr>
              <w:instrText xml:space="preserve"> PAGEREF _Toc121214298 \h </w:instrText>
            </w:r>
            <w:r w:rsidR="009E1B8B">
              <w:rPr>
                <w:noProof/>
                <w:webHidden/>
              </w:rPr>
            </w:r>
            <w:r w:rsidR="009E1B8B">
              <w:rPr>
                <w:noProof/>
                <w:webHidden/>
              </w:rPr>
              <w:fldChar w:fldCharType="separate"/>
            </w:r>
            <w:r w:rsidR="009E1B8B">
              <w:rPr>
                <w:noProof/>
                <w:webHidden/>
              </w:rPr>
              <w:t>47</w:t>
            </w:r>
            <w:r w:rsidR="009E1B8B">
              <w:rPr>
                <w:noProof/>
                <w:webHidden/>
              </w:rPr>
              <w:fldChar w:fldCharType="end"/>
            </w:r>
          </w:hyperlink>
        </w:p>
        <w:p w14:paraId="3ADB124F" w14:textId="57C6EA9E" w:rsidR="009E1B8B" w:rsidRDefault="002B0482">
          <w:pPr>
            <w:pStyle w:val="Sommario3"/>
            <w:rPr>
              <w:rFonts w:eastAsiaTheme="minorEastAsia"/>
              <w:noProof/>
              <w:lang w:eastAsia="it-IT"/>
            </w:rPr>
          </w:pPr>
          <w:hyperlink w:anchor="_Toc121214299" w:history="1">
            <w:r w:rsidR="009E1B8B" w:rsidRPr="00851F5B">
              <w:rPr>
                <w:rStyle w:val="Collegamentoipertestuale"/>
                <w:rFonts w:ascii="Bookman Old Style" w:hAnsi="Bookman Old Style"/>
                <w:b/>
                <w:bCs/>
                <w:noProof/>
              </w:rPr>
              <w:t>50.</w:t>
            </w:r>
            <w:r w:rsidR="009E1B8B">
              <w:rPr>
                <w:rFonts w:eastAsiaTheme="minorEastAsia"/>
                <w:noProof/>
                <w:lang w:eastAsia="it-IT"/>
              </w:rPr>
              <w:tab/>
            </w:r>
            <w:r w:rsidR="009E1B8B" w:rsidRPr="00851F5B">
              <w:rPr>
                <w:rStyle w:val="Collegamentoipertestuale"/>
                <w:rFonts w:ascii="Bookman Old Style" w:hAnsi="Bookman Old Style"/>
                <w:b/>
                <w:bCs/>
                <w:noProof/>
              </w:rPr>
              <w:t>Regolarizzazione delle posizioni contributive</w:t>
            </w:r>
            <w:r w:rsidR="009E1B8B">
              <w:rPr>
                <w:noProof/>
                <w:webHidden/>
              </w:rPr>
              <w:tab/>
            </w:r>
            <w:r w:rsidR="009E1B8B">
              <w:rPr>
                <w:noProof/>
                <w:webHidden/>
              </w:rPr>
              <w:fldChar w:fldCharType="begin"/>
            </w:r>
            <w:r w:rsidR="009E1B8B">
              <w:rPr>
                <w:noProof/>
                <w:webHidden/>
              </w:rPr>
              <w:instrText xml:space="preserve"> PAGEREF _Toc121214299 \h </w:instrText>
            </w:r>
            <w:r w:rsidR="009E1B8B">
              <w:rPr>
                <w:noProof/>
                <w:webHidden/>
              </w:rPr>
            </w:r>
            <w:r w:rsidR="009E1B8B">
              <w:rPr>
                <w:noProof/>
                <w:webHidden/>
              </w:rPr>
              <w:fldChar w:fldCharType="separate"/>
            </w:r>
            <w:r w:rsidR="009E1B8B">
              <w:rPr>
                <w:noProof/>
                <w:webHidden/>
              </w:rPr>
              <w:t>48</w:t>
            </w:r>
            <w:r w:rsidR="009E1B8B">
              <w:rPr>
                <w:noProof/>
                <w:webHidden/>
              </w:rPr>
              <w:fldChar w:fldCharType="end"/>
            </w:r>
          </w:hyperlink>
        </w:p>
        <w:p w14:paraId="015A3B84" w14:textId="281AFAC4" w:rsidR="009E1B8B" w:rsidRDefault="002B0482">
          <w:pPr>
            <w:pStyle w:val="Sommario3"/>
            <w:rPr>
              <w:rFonts w:eastAsiaTheme="minorEastAsia"/>
              <w:noProof/>
              <w:lang w:eastAsia="it-IT"/>
            </w:rPr>
          </w:pPr>
          <w:hyperlink w:anchor="_Toc121214300" w:history="1">
            <w:r w:rsidR="009E1B8B" w:rsidRPr="00851F5B">
              <w:rPr>
                <w:rStyle w:val="Collegamentoipertestuale"/>
                <w:rFonts w:ascii="Bookman Old Style" w:hAnsi="Bookman Old Style"/>
                <w:b/>
                <w:bCs/>
                <w:noProof/>
              </w:rPr>
              <w:t>51.</w:t>
            </w:r>
            <w:r w:rsidR="009E1B8B">
              <w:rPr>
                <w:rFonts w:eastAsiaTheme="minorEastAsia"/>
                <w:noProof/>
                <w:lang w:eastAsia="it-IT"/>
              </w:rPr>
              <w:tab/>
            </w:r>
            <w:r w:rsidR="009E1B8B" w:rsidRPr="00851F5B">
              <w:rPr>
                <w:rStyle w:val="Collegamentoipertestuale"/>
                <w:rFonts w:ascii="Bookman Old Style" w:hAnsi="Bookman Old Style"/>
                <w:b/>
                <w:bCs/>
                <w:noProof/>
              </w:rPr>
              <w:t>Sterilizzazione spesa Segretari comunali (art. 149)</w:t>
            </w:r>
            <w:r w:rsidR="009E1B8B">
              <w:rPr>
                <w:noProof/>
                <w:webHidden/>
              </w:rPr>
              <w:tab/>
            </w:r>
            <w:r w:rsidR="009E1B8B">
              <w:rPr>
                <w:noProof/>
                <w:webHidden/>
              </w:rPr>
              <w:fldChar w:fldCharType="begin"/>
            </w:r>
            <w:r w:rsidR="009E1B8B">
              <w:rPr>
                <w:noProof/>
                <w:webHidden/>
              </w:rPr>
              <w:instrText xml:space="preserve"> PAGEREF _Toc121214300 \h </w:instrText>
            </w:r>
            <w:r w:rsidR="009E1B8B">
              <w:rPr>
                <w:noProof/>
                <w:webHidden/>
              </w:rPr>
            </w:r>
            <w:r w:rsidR="009E1B8B">
              <w:rPr>
                <w:noProof/>
                <w:webHidden/>
              </w:rPr>
              <w:fldChar w:fldCharType="separate"/>
            </w:r>
            <w:r w:rsidR="009E1B8B">
              <w:rPr>
                <w:noProof/>
                <w:webHidden/>
              </w:rPr>
              <w:t>49</w:t>
            </w:r>
            <w:r w:rsidR="009E1B8B">
              <w:rPr>
                <w:noProof/>
                <w:webHidden/>
              </w:rPr>
              <w:fldChar w:fldCharType="end"/>
            </w:r>
          </w:hyperlink>
        </w:p>
        <w:p w14:paraId="7DA9F01F" w14:textId="70BC1661" w:rsidR="009E1B8B" w:rsidRDefault="002B0482">
          <w:pPr>
            <w:pStyle w:val="Sommario3"/>
            <w:rPr>
              <w:rFonts w:eastAsiaTheme="minorEastAsia"/>
              <w:noProof/>
              <w:lang w:eastAsia="it-IT"/>
            </w:rPr>
          </w:pPr>
          <w:hyperlink w:anchor="_Toc121214301" w:history="1">
            <w:r w:rsidR="009E1B8B" w:rsidRPr="00851F5B">
              <w:rPr>
                <w:rStyle w:val="Collegamentoipertestuale"/>
                <w:rFonts w:ascii="Bookman Old Style" w:hAnsi="Bookman Old Style"/>
                <w:b/>
                <w:bCs/>
                <w:noProof/>
              </w:rPr>
              <w:t>52.</w:t>
            </w:r>
            <w:r w:rsidR="009E1B8B">
              <w:rPr>
                <w:rFonts w:eastAsiaTheme="minorEastAsia"/>
                <w:noProof/>
                <w:lang w:eastAsia="it-IT"/>
              </w:rPr>
              <w:tab/>
            </w:r>
            <w:r w:rsidR="009E1B8B" w:rsidRPr="00851F5B">
              <w:rPr>
                <w:rStyle w:val="Collegamentoipertestuale"/>
                <w:rFonts w:ascii="Bookman Old Style" w:hAnsi="Bookman Old Style"/>
                <w:b/>
                <w:bCs/>
                <w:noProof/>
              </w:rPr>
              <w:t>Estensione deroga ai vincoli per le assunzioni di assistenti sociali alle forme associate comunali</w:t>
            </w:r>
            <w:r w:rsidR="009E1B8B">
              <w:rPr>
                <w:noProof/>
                <w:webHidden/>
              </w:rPr>
              <w:tab/>
            </w:r>
            <w:r w:rsidR="009E1B8B">
              <w:rPr>
                <w:noProof/>
                <w:webHidden/>
              </w:rPr>
              <w:fldChar w:fldCharType="begin"/>
            </w:r>
            <w:r w:rsidR="009E1B8B">
              <w:rPr>
                <w:noProof/>
                <w:webHidden/>
              </w:rPr>
              <w:instrText xml:space="preserve"> PAGEREF _Toc121214301 \h </w:instrText>
            </w:r>
            <w:r w:rsidR="009E1B8B">
              <w:rPr>
                <w:noProof/>
                <w:webHidden/>
              </w:rPr>
            </w:r>
            <w:r w:rsidR="009E1B8B">
              <w:rPr>
                <w:noProof/>
                <w:webHidden/>
              </w:rPr>
              <w:fldChar w:fldCharType="separate"/>
            </w:r>
            <w:r w:rsidR="009E1B8B">
              <w:rPr>
                <w:noProof/>
                <w:webHidden/>
              </w:rPr>
              <w:t>49</w:t>
            </w:r>
            <w:r w:rsidR="009E1B8B">
              <w:rPr>
                <w:noProof/>
                <w:webHidden/>
              </w:rPr>
              <w:fldChar w:fldCharType="end"/>
            </w:r>
          </w:hyperlink>
        </w:p>
        <w:p w14:paraId="7B6DC5CD" w14:textId="573FB6FC" w:rsidR="009E1B8B" w:rsidRDefault="002B0482">
          <w:pPr>
            <w:pStyle w:val="Sommario3"/>
            <w:rPr>
              <w:rFonts w:eastAsiaTheme="minorEastAsia"/>
              <w:noProof/>
              <w:lang w:eastAsia="it-IT"/>
            </w:rPr>
          </w:pPr>
          <w:hyperlink w:anchor="_Toc121214302" w:history="1">
            <w:r w:rsidR="009E1B8B" w:rsidRPr="00851F5B">
              <w:rPr>
                <w:rStyle w:val="Collegamentoipertestuale"/>
                <w:rFonts w:ascii="Bookman Old Style" w:hAnsi="Bookman Old Style"/>
                <w:b/>
                <w:bCs/>
                <w:noProof/>
              </w:rPr>
              <w:t>53.</w:t>
            </w:r>
            <w:r w:rsidR="009E1B8B">
              <w:rPr>
                <w:rFonts w:eastAsiaTheme="minorEastAsia"/>
                <w:noProof/>
                <w:lang w:eastAsia="it-IT"/>
              </w:rPr>
              <w:tab/>
            </w:r>
            <w:r w:rsidR="009E1B8B" w:rsidRPr="00851F5B">
              <w:rPr>
                <w:rStyle w:val="Collegamentoipertestuale"/>
                <w:rFonts w:ascii="Bookman Old Style" w:hAnsi="Bookman Old Style"/>
                <w:b/>
                <w:bCs/>
                <w:noProof/>
              </w:rPr>
              <w:t>Estensione deroga ai vincoli per le assunzioni di assistenti sociali effettuate a valere sulle risorse del FNA (Fondo non autosufficienze) per il rafforzamento delle UVM (unità di valutazione) presso i PUA (punti unici di accesso)</w:t>
            </w:r>
            <w:r w:rsidR="009E1B8B">
              <w:rPr>
                <w:noProof/>
                <w:webHidden/>
              </w:rPr>
              <w:tab/>
            </w:r>
            <w:r w:rsidR="009E1B8B">
              <w:rPr>
                <w:noProof/>
                <w:webHidden/>
              </w:rPr>
              <w:fldChar w:fldCharType="begin"/>
            </w:r>
            <w:r w:rsidR="009E1B8B">
              <w:rPr>
                <w:noProof/>
                <w:webHidden/>
              </w:rPr>
              <w:instrText xml:space="preserve"> PAGEREF _Toc121214302 \h </w:instrText>
            </w:r>
            <w:r w:rsidR="009E1B8B">
              <w:rPr>
                <w:noProof/>
                <w:webHidden/>
              </w:rPr>
            </w:r>
            <w:r w:rsidR="009E1B8B">
              <w:rPr>
                <w:noProof/>
                <w:webHidden/>
              </w:rPr>
              <w:fldChar w:fldCharType="separate"/>
            </w:r>
            <w:r w:rsidR="009E1B8B">
              <w:rPr>
                <w:noProof/>
                <w:webHidden/>
              </w:rPr>
              <w:t>50</w:t>
            </w:r>
            <w:r w:rsidR="009E1B8B">
              <w:rPr>
                <w:noProof/>
                <w:webHidden/>
              </w:rPr>
              <w:fldChar w:fldCharType="end"/>
            </w:r>
          </w:hyperlink>
        </w:p>
        <w:p w14:paraId="3D4A4E79" w14:textId="371B3A0B" w:rsidR="009E1B8B" w:rsidRDefault="002B0482">
          <w:pPr>
            <w:pStyle w:val="Sommario1"/>
            <w:rPr>
              <w:rFonts w:asciiTheme="minorHAnsi" w:eastAsiaTheme="minorEastAsia" w:hAnsiTheme="minorHAnsi" w:cstheme="minorBidi"/>
              <w:b w:val="0"/>
              <w:bCs w:val="0"/>
              <w:sz w:val="22"/>
              <w:szCs w:val="22"/>
            </w:rPr>
          </w:pPr>
          <w:hyperlink w:anchor="_Toc121214303" w:history="1">
            <w:r w:rsidR="009E1B8B" w:rsidRPr="00851F5B">
              <w:rPr>
                <w:rStyle w:val="Collegamentoipertestuale"/>
              </w:rPr>
              <w:t>MOBILITA’ ED ENERGIA</w:t>
            </w:r>
            <w:r w:rsidR="009E1B8B">
              <w:rPr>
                <w:webHidden/>
              </w:rPr>
              <w:tab/>
            </w:r>
            <w:r w:rsidR="009E1B8B">
              <w:rPr>
                <w:webHidden/>
              </w:rPr>
              <w:fldChar w:fldCharType="begin"/>
            </w:r>
            <w:r w:rsidR="009E1B8B">
              <w:rPr>
                <w:webHidden/>
              </w:rPr>
              <w:instrText xml:space="preserve"> PAGEREF _Toc121214303 \h </w:instrText>
            </w:r>
            <w:r w:rsidR="009E1B8B">
              <w:rPr>
                <w:webHidden/>
              </w:rPr>
            </w:r>
            <w:r w:rsidR="009E1B8B">
              <w:rPr>
                <w:webHidden/>
              </w:rPr>
              <w:fldChar w:fldCharType="separate"/>
            </w:r>
            <w:r w:rsidR="009E1B8B">
              <w:rPr>
                <w:webHidden/>
              </w:rPr>
              <w:t>50</w:t>
            </w:r>
            <w:r w:rsidR="009E1B8B">
              <w:rPr>
                <w:webHidden/>
              </w:rPr>
              <w:fldChar w:fldCharType="end"/>
            </w:r>
          </w:hyperlink>
        </w:p>
        <w:p w14:paraId="66B13B51" w14:textId="166219F3" w:rsidR="009E1B8B" w:rsidRDefault="002B0482">
          <w:pPr>
            <w:pStyle w:val="Sommario3"/>
            <w:rPr>
              <w:rFonts w:eastAsiaTheme="minorEastAsia"/>
              <w:noProof/>
              <w:lang w:eastAsia="it-IT"/>
            </w:rPr>
          </w:pPr>
          <w:hyperlink w:anchor="_Toc121214304" w:history="1">
            <w:r w:rsidR="009E1B8B" w:rsidRPr="00851F5B">
              <w:rPr>
                <w:rStyle w:val="Collegamentoipertestuale"/>
                <w:rFonts w:ascii="Bookman Old Style" w:hAnsi="Bookman Old Style"/>
                <w:b/>
                <w:bCs/>
                <w:noProof/>
              </w:rPr>
              <w:t>54.</w:t>
            </w:r>
            <w:r w:rsidR="009E1B8B">
              <w:rPr>
                <w:rFonts w:eastAsiaTheme="minorEastAsia"/>
                <w:noProof/>
                <w:lang w:eastAsia="it-IT"/>
              </w:rPr>
              <w:tab/>
            </w:r>
            <w:r w:rsidR="009E1B8B" w:rsidRPr="00851F5B">
              <w:rPr>
                <w:rStyle w:val="Collegamentoipertestuale"/>
                <w:rFonts w:ascii="Bookman Old Style" w:hAnsi="Bookman Old Style"/>
                <w:b/>
                <w:bCs/>
                <w:noProof/>
              </w:rPr>
              <w:t>Cessione di energia da impianti fossili</w:t>
            </w:r>
            <w:r w:rsidR="009E1B8B">
              <w:rPr>
                <w:noProof/>
                <w:webHidden/>
              </w:rPr>
              <w:tab/>
            </w:r>
            <w:r w:rsidR="009E1B8B">
              <w:rPr>
                <w:noProof/>
                <w:webHidden/>
              </w:rPr>
              <w:fldChar w:fldCharType="begin"/>
            </w:r>
            <w:r w:rsidR="009E1B8B">
              <w:rPr>
                <w:noProof/>
                <w:webHidden/>
              </w:rPr>
              <w:instrText xml:space="preserve"> PAGEREF _Toc121214304 \h </w:instrText>
            </w:r>
            <w:r w:rsidR="009E1B8B">
              <w:rPr>
                <w:noProof/>
                <w:webHidden/>
              </w:rPr>
            </w:r>
            <w:r w:rsidR="009E1B8B">
              <w:rPr>
                <w:noProof/>
                <w:webHidden/>
              </w:rPr>
              <w:fldChar w:fldCharType="separate"/>
            </w:r>
            <w:r w:rsidR="009E1B8B">
              <w:rPr>
                <w:noProof/>
                <w:webHidden/>
              </w:rPr>
              <w:t>50</w:t>
            </w:r>
            <w:r w:rsidR="009E1B8B">
              <w:rPr>
                <w:noProof/>
                <w:webHidden/>
              </w:rPr>
              <w:fldChar w:fldCharType="end"/>
            </w:r>
          </w:hyperlink>
        </w:p>
        <w:p w14:paraId="383D7794" w14:textId="00E32CAF" w:rsidR="009E1B8B" w:rsidRDefault="002B0482">
          <w:pPr>
            <w:pStyle w:val="Sommario3"/>
            <w:rPr>
              <w:rFonts w:eastAsiaTheme="minorEastAsia"/>
              <w:noProof/>
              <w:lang w:eastAsia="it-IT"/>
            </w:rPr>
          </w:pPr>
          <w:hyperlink w:anchor="_Toc121214305" w:history="1">
            <w:r w:rsidR="009E1B8B" w:rsidRPr="00851F5B">
              <w:rPr>
                <w:rStyle w:val="Collegamentoipertestuale"/>
                <w:rFonts w:ascii="Bookman Old Style" w:hAnsi="Bookman Old Style"/>
                <w:b/>
                <w:bCs/>
                <w:noProof/>
              </w:rPr>
              <w:t>55.</w:t>
            </w:r>
            <w:r w:rsidR="009E1B8B">
              <w:rPr>
                <w:rFonts w:eastAsiaTheme="minorEastAsia"/>
                <w:noProof/>
                <w:lang w:eastAsia="it-IT"/>
              </w:rPr>
              <w:tab/>
            </w:r>
            <w:r w:rsidR="009E1B8B" w:rsidRPr="00851F5B">
              <w:rPr>
                <w:rStyle w:val="Collegamentoipertestuale"/>
                <w:rFonts w:ascii="Bookman Old Style" w:hAnsi="Bookman Old Style"/>
                <w:b/>
                <w:bCs/>
                <w:noProof/>
              </w:rPr>
              <w:t>Riqualificazione energetica del patrimonio edilizio pubblico</w:t>
            </w:r>
            <w:r w:rsidR="009E1B8B">
              <w:rPr>
                <w:noProof/>
                <w:webHidden/>
              </w:rPr>
              <w:tab/>
            </w:r>
            <w:r w:rsidR="009E1B8B">
              <w:rPr>
                <w:noProof/>
                <w:webHidden/>
              </w:rPr>
              <w:fldChar w:fldCharType="begin"/>
            </w:r>
            <w:r w:rsidR="009E1B8B">
              <w:rPr>
                <w:noProof/>
                <w:webHidden/>
              </w:rPr>
              <w:instrText xml:space="preserve"> PAGEREF _Toc121214305 \h </w:instrText>
            </w:r>
            <w:r w:rsidR="009E1B8B">
              <w:rPr>
                <w:noProof/>
                <w:webHidden/>
              </w:rPr>
            </w:r>
            <w:r w:rsidR="009E1B8B">
              <w:rPr>
                <w:noProof/>
                <w:webHidden/>
              </w:rPr>
              <w:fldChar w:fldCharType="separate"/>
            </w:r>
            <w:r w:rsidR="009E1B8B">
              <w:rPr>
                <w:noProof/>
                <w:webHidden/>
              </w:rPr>
              <w:t>51</w:t>
            </w:r>
            <w:r w:rsidR="009E1B8B">
              <w:rPr>
                <w:noProof/>
                <w:webHidden/>
              </w:rPr>
              <w:fldChar w:fldCharType="end"/>
            </w:r>
          </w:hyperlink>
        </w:p>
        <w:p w14:paraId="29214AD9" w14:textId="586B89A6" w:rsidR="009E1B8B" w:rsidRDefault="002B0482">
          <w:pPr>
            <w:pStyle w:val="Sommario3"/>
            <w:rPr>
              <w:rFonts w:eastAsiaTheme="minorEastAsia"/>
              <w:noProof/>
              <w:lang w:eastAsia="it-IT"/>
            </w:rPr>
          </w:pPr>
          <w:hyperlink w:anchor="_Toc121214306" w:history="1">
            <w:r w:rsidR="009E1B8B" w:rsidRPr="00851F5B">
              <w:rPr>
                <w:rStyle w:val="Collegamentoipertestuale"/>
                <w:rFonts w:ascii="Bookman Old Style" w:hAnsi="Bookman Old Style"/>
                <w:b/>
                <w:bCs/>
                <w:noProof/>
              </w:rPr>
              <w:t>56.</w:t>
            </w:r>
            <w:r w:rsidR="009E1B8B">
              <w:rPr>
                <w:rFonts w:eastAsiaTheme="minorEastAsia"/>
                <w:noProof/>
                <w:lang w:eastAsia="it-IT"/>
              </w:rPr>
              <w:tab/>
            </w:r>
            <w:r w:rsidR="009E1B8B" w:rsidRPr="00851F5B">
              <w:rPr>
                <w:rStyle w:val="Collegamentoipertestuale"/>
                <w:rFonts w:ascii="Bookman Old Style" w:hAnsi="Bookman Old Style"/>
                <w:b/>
                <w:bCs/>
                <w:noProof/>
              </w:rPr>
              <w:t>Decarbonizzazione dei sistemi di riscaldamento degli edifici pubblici nelle gare di affidamento</w:t>
            </w:r>
            <w:r w:rsidR="009E1B8B">
              <w:rPr>
                <w:noProof/>
                <w:webHidden/>
              </w:rPr>
              <w:tab/>
            </w:r>
            <w:r w:rsidR="009E1B8B">
              <w:rPr>
                <w:noProof/>
                <w:webHidden/>
              </w:rPr>
              <w:fldChar w:fldCharType="begin"/>
            </w:r>
            <w:r w:rsidR="009E1B8B">
              <w:rPr>
                <w:noProof/>
                <w:webHidden/>
              </w:rPr>
              <w:instrText xml:space="preserve"> PAGEREF _Toc121214306 \h </w:instrText>
            </w:r>
            <w:r w:rsidR="009E1B8B">
              <w:rPr>
                <w:noProof/>
                <w:webHidden/>
              </w:rPr>
            </w:r>
            <w:r w:rsidR="009E1B8B">
              <w:rPr>
                <w:noProof/>
                <w:webHidden/>
              </w:rPr>
              <w:fldChar w:fldCharType="separate"/>
            </w:r>
            <w:r w:rsidR="009E1B8B">
              <w:rPr>
                <w:noProof/>
                <w:webHidden/>
              </w:rPr>
              <w:t>52</w:t>
            </w:r>
            <w:r w:rsidR="009E1B8B">
              <w:rPr>
                <w:noProof/>
                <w:webHidden/>
              </w:rPr>
              <w:fldChar w:fldCharType="end"/>
            </w:r>
          </w:hyperlink>
        </w:p>
        <w:p w14:paraId="7D4137C0" w14:textId="2FDE1AA5" w:rsidR="009E1B8B" w:rsidRDefault="002B0482">
          <w:pPr>
            <w:pStyle w:val="Sommario3"/>
            <w:rPr>
              <w:rFonts w:eastAsiaTheme="minorEastAsia"/>
              <w:noProof/>
              <w:lang w:eastAsia="it-IT"/>
            </w:rPr>
          </w:pPr>
          <w:hyperlink w:anchor="_Toc121214307" w:history="1">
            <w:r w:rsidR="009E1B8B" w:rsidRPr="00851F5B">
              <w:rPr>
                <w:rStyle w:val="Collegamentoipertestuale"/>
                <w:rFonts w:ascii="Bookman Old Style" w:hAnsi="Bookman Old Style"/>
                <w:b/>
                <w:bCs/>
                <w:noProof/>
              </w:rPr>
              <w:t>57.</w:t>
            </w:r>
            <w:r w:rsidR="009E1B8B">
              <w:rPr>
                <w:rFonts w:eastAsiaTheme="minorEastAsia"/>
                <w:noProof/>
                <w:lang w:eastAsia="it-IT"/>
              </w:rPr>
              <w:tab/>
            </w:r>
            <w:r w:rsidR="009E1B8B" w:rsidRPr="00851F5B">
              <w:rPr>
                <w:rStyle w:val="Collegamentoipertestuale"/>
                <w:rFonts w:ascii="Bookman Old Style" w:hAnsi="Bookman Old Style"/>
                <w:b/>
                <w:bCs/>
                <w:noProof/>
              </w:rPr>
              <w:t>Integrazione al Fondo per la strategia di mobilità sostenibile per la lotta al cambiamento climatico e la riduzione delle emissioni</w:t>
            </w:r>
            <w:r w:rsidR="009E1B8B">
              <w:rPr>
                <w:noProof/>
                <w:webHidden/>
              </w:rPr>
              <w:tab/>
            </w:r>
            <w:r w:rsidR="009E1B8B">
              <w:rPr>
                <w:noProof/>
                <w:webHidden/>
              </w:rPr>
              <w:fldChar w:fldCharType="begin"/>
            </w:r>
            <w:r w:rsidR="009E1B8B">
              <w:rPr>
                <w:noProof/>
                <w:webHidden/>
              </w:rPr>
              <w:instrText xml:space="preserve"> PAGEREF _Toc121214307 \h </w:instrText>
            </w:r>
            <w:r w:rsidR="009E1B8B">
              <w:rPr>
                <w:noProof/>
                <w:webHidden/>
              </w:rPr>
            </w:r>
            <w:r w:rsidR="009E1B8B">
              <w:rPr>
                <w:noProof/>
                <w:webHidden/>
              </w:rPr>
              <w:fldChar w:fldCharType="separate"/>
            </w:r>
            <w:r w:rsidR="009E1B8B">
              <w:rPr>
                <w:noProof/>
                <w:webHidden/>
              </w:rPr>
              <w:t>52</w:t>
            </w:r>
            <w:r w:rsidR="009E1B8B">
              <w:rPr>
                <w:noProof/>
                <w:webHidden/>
              </w:rPr>
              <w:fldChar w:fldCharType="end"/>
            </w:r>
          </w:hyperlink>
        </w:p>
        <w:p w14:paraId="4A04C78C" w14:textId="48EEAD87" w:rsidR="009E1B8B" w:rsidRDefault="002B0482">
          <w:pPr>
            <w:pStyle w:val="Sommario3"/>
            <w:rPr>
              <w:rFonts w:eastAsiaTheme="minorEastAsia"/>
              <w:noProof/>
              <w:lang w:eastAsia="it-IT"/>
            </w:rPr>
          </w:pPr>
          <w:hyperlink w:anchor="_Toc121214308" w:history="1">
            <w:r w:rsidR="009E1B8B" w:rsidRPr="00851F5B">
              <w:rPr>
                <w:rStyle w:val="Collegamentoipertestuale"/>
                <w:rFonts w:ascii="Bookman Old Style" w:hAnsi="Bookman Old Style"/>
                <w:b/>
                <w:bCs/>
                <w:noProof/>
              </w:rPr>
              <w:t>58.</w:t>
            </w:r>
            <w:r w:rsidR="009E1B8B">
              <w:rPr>
                <w:rFonts w:eastAsiaTheme="minorEastAsia"/>
                <w:noProof/>
                <w:lang w:eastAsia="it-IT"/>
              </w:rPr>
              <w:tab/>
            </w:r>
            <w:r w:rsidR="009E1B8B" w:rsidRPr="00851F5B">
              <w:rPr>
                <w:rStyle w:val="Collegamentoipertestuale"/>
                <w:rFonts w:ascii="Bookman Old Style" w:hAnsi="Bookman Old Style"/>
                <w:b/>
                <w:bCs/>
                <w:noProof/>
              </w:rPr>
              <w:t>Regolamentazione tariffe ZTL</w:t>
            </w:r>
            <w:r w:rsidR="009E1B8B">
              <w:rPr>
                <w:noProof/>
                <w:webHidden/>
              </w:rPr>
              <w:tab/>
            </w:r>
            <w:r w:rsidR="009E1B8B">
              <w:rPr>
                <w:noProof/>
                <w:webHidden/>
              </w:rPr>
              <w:fldChar w:fldCharType="begin"/>
            </w:r>
            <w:r w:rsidR="009E1B8B">
              <w:rPr>
                <w:noProof/>
                <w:webHidden/>
              </w:rPr>
              <w:instrText xml:space="preserve"> PAGEREF _Toc121214308 \h </w:instrText>
            </w:r>
            <w:r w:rsidR="009E1B8B">
              <w:rPr>
                <w:noProof/>
                <w:webHidden/>
              </w:rPr>
            </w:r>
            <w:r w:rsidR="009E1B8B">
              <w:rPr>
                <w:noProof/>
                <w:webHidden/>
              </w:rPr>
              <w:fldChar w:fldCharType="separate"/>
            </w:r>
            <w:r w:rsidR="009E1B8B">
              <w:rPr>
                <w:noProof/>
                <w:webHidden/>
              </w:rPr>
              <w:t>53</w:t>
            </w:r>
            <w:r w:rsidR="009E1B8B">
              <w:rPr>
                <w:noProof/>
                <w:webHidden/>
              </w:rPr>
              <w:fldChar w:fldCharType="end"/>
            </w:r>
          </w:hyperlink>
        </w:p>
        <w:p w14:paraId="34681702" w14:textId="10E21801" w:rsidR="009E1B8B" w:rsidRDefault="002B0482">
          <w:pPr>
            <w:pStyle w:val="Sommario1"/>
            <w:rPr>
              <w:rFonts w:asciiTheme="minorHAnsi" w:eastAsiaTheme="minorEastAsia" w:hAnsiTheme="minorHAnsi" w:cstheme="minorBidi"/>
              <w:b w:val="0"/>
              <w:bCs w:val="0"/>
              <w:sz w:val="22"/>
              <w:szCs w:val="22"/>
            </w:rPr>
          </w:pPr>
          <w:hyperlink w:anchor="_Toc121214309" w:history="1">
            <w:r w:rsidR="009E1B8B" w:rsidRPr="00851F5B">
              <w:rPr>
                <w:rStyle w:val="Collegamentoipertestuale"/>
              </w:rPr>
              <w:t>ISTRUZIONE E EDILIZIA SCOLASTICA</w:t>
            </w:r>
            <w:r w:rsidR="009E1B8B">
              <w:rPr>
                <w:webHidden/>
              </w:rPr>
              <w:tab/>
            </w:r>
            <w:r w:rsidR="009E1B8B">
              <w:rPr>
                <w:webHidden/>
              </w:rPr>
              <w:fldChar w:fldCharType="begin"/>
            </w:r>
            <w:r w:rsidR="009E1B8B">
              <w:rPr>
                <w:webHidden/>
              </w:rPr>
              <w:instrText xml:space="preserve"> PAGEREF _Toc121214309 \h </w:instrText>
            </w:r>
            <w:r w:rsidR="009E1B8B">
              <w:rPr>
                <w:webHidden/>
              </w:rPr>
            </w:r>
            <w:r w:rsidR="009E1B8B">
              <w:rPr>
                <w:webHidden/>
              </w:rPr>
              <w:fldChar w:fldCharType="separate"/>
            </w:r>
            <w:r w:rsidR="009E1B8B">
              <w:rPr>
                <w:webHidden/>
              </w:rPr>
              <w:t>54</w:t>
            </w:r>
            <w:r w:rsidR="009E1B8B">
              <w:rPr>
                <w:webHidden/>
              </w:rPr>
              <w:fldChar w:fldCharType="end"/>
            </w:r>
          </w:hyperlink>
        </w:p>
        <w:p w14:paraId="184776B4" w14:textId="24ADF138" w:rsidR="009E1B8B" w:rsidRDefault="002B0482">
          <w:pPr>
            <w:pStyle w:val="Sommario3"/>
            <w:rPr>
              <w:rFonts w:eastAsiaTheme="minorEastAsia"/>
              <w:noProof/>
              <w:lang w:eastAsia="it-IT"/>
            </w:rPr>
          </w:pPr>
          <w:hyperlink w:anchor="_Toc121214310" w:history="1">
            <w:r w:rsidR="009E1B8B" w:rsidRPr="00851F5B">
              <w:rPr>
                <w:rStyle w:val="Collegamentoipertestuale"/>
                <w:rFonts w:ascii="Bookman Old Style" w:hAnsi="Bookman Old Style"/>
                <w:b/>
                <w:bCs/>
                <w:noProof/>
              </w:rPr>
              <w:t>59.</w:t>
            </w:r>
            <w:r w:rsidR="009E1B8B">
              <w:rPr>
                <w:rFonts w:eastAsiaTheme="minorEastAsia"/>
                <w:noProof/>
                <w:lang w:eastAsia="it-IT"/>
              </w:rPr>
              <w:tab/>
            </w:r>
            <w:r w:rsidR="009E1B8B" w:rsidRPr="00851F5B">
              <w:rPr>
                <w:rStyle w:val="Collegamentoipertestuale"/>
                <w:rFonts w:ascii="Bookman Old Style" w:hAnsi="Bookman Old Style"/>
                <w:b/>
                <w:bCs/>
                <w:noProof/>
              </w:rPr>
              <w:t>Utilizzo economie del fondo trasporto scolastico Covid</w:t>
            </w:r>
            <w:r w:rsidR="009E1B8B">
              <w:rPr>
                <w:noProof/>
                <w:webHidden/>
              </w:rPr>
              <w:tab/>
            </w:r>
            <w:r w:rsidR="009E1B8B">
              <w:rPr>
                <w:noProof/>
                <w:webHidden/>
              </w:rPr>
              <w:fldChar w:fldCharType="begin"/>
            </w:r>
            <w:r w:rsidR="009E1B8B">
              <w:rPr>
                <w:noProof/>
                <w:webHidden/>
              </w:rPr>
              <w:instrText xml:space="preserve"> PAGEREF _Toc121214310 \h </w:instrText>
            </w:r>
            <w:r w:rsidR="009E1B8B">
              <w:rPr>
                <w:noProof/>
                <w:webHidden/>
              </w:rPr>
            </w:r>
            <w:r w:rsidR="009E1B8B">
              <w:rPr>
                <w:noProof/>
                <w:webHidden/>
              </w:rPr>
              <w:fldChar w:fldCharType="separate"/>
            </w:r>
            <w:r w:rsidR="009E1B8B">
              <w:rPr>
                <w:noProof/>
                <w:webHidden/>
              </w:rPr>
              <w:t>54</w:t>
            </w:r>
            <w:r w:rsidR="009E1B8B">
              <w:rPr>
                <w:noProof/>
                <w:webHidden/>
              </w:rPr>
              <w:fldChar w:fldCharType="end"/>
            </w:r>
          </w:hyperlink>
        </w:p>
        <w:p w14:paraId="08A19C1B" w14:textId="7CC21245" w:rsidR="009E1B8B" w:rsidRDefault="002B0482">
          <w:pPr>
            <w:pStyle w:val="Sommario3"/>
            <w:rPr>
              <w:rFonts w:eastAsiaTheme="minorEastAsia"/>
              <w:noProof/>
              <w:lang w:eastAsia="it-IT"/>
            </w:rPr>
          </w:pPr>
          <w:hyperlink w:anchor="_Toc121214311" w:history="1">
            <w:r w:rsidR="009E1B8B" w:rsidRPr="00851F5B">
              <w:rPr>
                <w:rStyle w:val="Collegamentoipertestuale"/>
                <w:rFonts w:ascii="Bookman Old Style" w:hAnsi="Bookman Old Style"/>
                <w:b/>
                <w:bCs/>
                <w:noProof/>
              </w:rPr>
              <w:t>60.</w:t>
            </w:r>
            <w:r w:rsidR="009E1B8B">
              <w:rPr>
                <w:rFonts w:eastAsiaTheme="minorEastAsia"/>
                <w:noProof/>
                <w:lang w:eastAsia="it-IT"/>
              </w:rPr>
              <w:tab/>
            </w:r>
            <w:r w:rsidR="009E1B8B" w:rsidRPr="00851F5B">
              <w:rPr>
                <w:rStyle w:val="Collegamentoipertestuale"/>
                <w:rFonts w:ascii="Bookman Old Style" w:hAnsi="Bookman Old Style"/>
                <w:b/>
                <w:bCs/>
                <w:noProof/>
              </w:rPr>
              <w:t>Mensa personale scolastico statale</w:t>
            </w:r>
            <w:r w:rsidR="009E1B8B">
              <w:rPr>
                <w:noProof/>
                <w:webHidden/>
              </w:rPr>
              <w:tab/>
            </w:r>
            <w:r w:rsidR="009E1B8B">
              <w:rPr>
                <w:noProof/>
                <w:webHidden/>
              </w:rPr>
              <w:fldChar w:fldCharType="begin"/>
            </w:r>
            <w:r w:rsidR="009E1B8B">
              <w:rPr>
                <w:noProof/>
                <w:webHidden/>
              </w:rPr>
              <w:instrText xml:space="preserve"> PAGEREF _Toc121214311 \h </w:instrText>
            </w:r>
            <w:r w:rsidR="009E1B8B">
              <w:rPr>
                <w:noProof/>
                <w:webHidden/>
              </w:rPr>
            </w:r>
            <w:r w:rsidR="009E1B8B">
              <w:rPr>
                <w:noProof/>
                <w:webHidden/>
              </w:rPr>
              <w:fldChar w:fldCharType="separate"/>
            </w:r>
            <w:r w:rsidR="009E1B8B">
              <w:rPr>
                <w:noProof/>
                <w:webHidden/>
              </w:rPr>
              <w:t>54</w:t>
            </w:r>
            <w:r w:rsidR="009E1B8B">
              <w:rPr>
                <w:noProof/>
                <w:webHidden/>
              </w:rPr>
              <w:fldChar w:fldCharType="end"/>
            </w:r>
          </w:hyperlink>
        </w:p>
        <w:p w14:paraId="3AEE5A93" w14:textId="34167C80" w:rsidR="009E1B8B" w:rsidRDefault="002B0482">
          <w:pPr>
            <w:pStyle w:val="Sommario3"/>
            <w:rPr>
              <w:rFonts w:eastAsiaTheme="minorEastAsia"/>
              <w:noProof/>
              <w:lang w:eastAsia="it-IT"/>
            </w:rPr>
          </w:pPr>
          <w:hyperlink w:anchor="_Toc121214312" w:history="1">
            <w:r w:rsidR="009E1B8B" w:rsidRPr="00851F5B">
              <w:rPr>
                <w:rStyle w:val="Collegamentoipertestuale"/>
                <w:rFonts w:ascii="Bookman Old Style" w:hAnsi="Bookman Old Style"/>
                <w:b/>
                <w:bCs/>
                <w:noProof/>
              </w:rPr>
              <w:t>61.</w:t>
            </w:r>
            <w:r w:rsidR="009E1B8B">
              <w:rPr>
                <w:rFonts w:eastAsiaTheme="minorEastAsia"/>
                <w:noProof/>
                <w:lang w:eastAsia="it-IT"/>
              </w:rPr>
              <w:tab/>
            </w:r>
            <w:r w:rsidR="009E1B8B" w:rsidRPr="00851F5B">
              <w:rPr>
                <w:rStyle w:val="Collegamentoipertestuale"/>
                <w:rFonts w:ascii="Bookman Old Style" w:hAnsi="Bookman Old Style"/>
                <w:b/>
                <w:bCs/>
                <w:noProof/>
              </w:rPr>
              <w:t>Fondo per l’assistenza all’autonomia e alla comunicazione degli alunni con disabilità</w:t>
            </w:r>
            <w:r w:rsidR="009E1B8B">
              <w:rPr>
                <w:noProof/>
                <w:webHidden/>
              </w:rPr>
              <w:tab/>
            </w:r>
            <w:r w:rsidR="009E1B8B">
              <w:rPr>
                <w:noProof/>
                <w:webHidden/>
              </w:rPr>
              <w:fldChar w:fldCharType="begin"/>
            </w:r>
            <w:r w:rsidR="009E1B8B">
              <w:rPr>
                <w:noProof/>
                <w:webHidden/>
              </w:rPr>
              <w:instrText xml:space="preserve"> PAGEREF _Toc121214312 \h </w:instrText>
            </w:r>
            <w:r w:rsidR="009E1B8B">
              <w:rPr>
                <w:noProof/>
                <w:webHidden/>
              </w:rPr>
            </w:r>
            <w:r w:rsidR="009E1B8B">
              <w:rPr>
                <w:noProof/>
                <w:webHidden/>
              </w:rPr>
              <w:fldChar w:fldCharType="separate"/>
            </w:r>
            <w:r w:rsidR="009E1B8B">
              <w:rPr>
                <w:noProof/>
                <w:webHidden/>
              </w:rPr>
              <w:t>55</w:t>
            </w:r>
            <w:r w:rsidR="009E1B8B">
              <w:rPr>
                <w:noProof/>
                <w:webHidden/>
              </w:rPr>
              <w:fldChar w:fldCharType="end"/>
            </w:r>
          </w:hyperlink>
        </w:p>
        <w:p w14:paraId="65159E07" w14:textId="5A660864" w:rsidR="009E1B8B" w:rsidRDefault="002B0482">
          <w:pPr>
            <w:pStyle w:val="Sommario3"/>
            <w:rPr>
              <w:rFonts w:eastAsiaTheme="minorEastAsia"/>
              <w:noProof/>
              <w:lang w:eastAsia="it-IT"/>
            </w:rPr>
          </w:pPr>
          <w:hyperlink w:anchor="_Toc121214313" w:history="1">
            <w:r w:rsidR="009E1B8B" w:rsidRPr="00851F5B">
              <w:rPr>
                <w:rStyle w:val="Collegamentoipertestuale"/>
                <w:rFonts w:ascii="Bookman Old Style" w:hAnsi="Bookman Old Style"/>
                <w:b/>
                <w:bCs/>
                <w:noProof/>
              </w:rPr>
              <w:t>62.</w:t>
            </w:r>
            <w:r w:rsidR="009E1B8B">
              <w:rPr>
                <w:rFonts w:eastAsiaTheme="minorEastAsia"/>
                <w:noProof/>
                <w:lang w:eastAsia="it-IT"/>
              </w:rPr>
              <w:tab/>
            </w:r>
            <w:r w:rsidR="009E1B8B" w:rsidRPr="00851F5B">
              <w:rPr>
                <w:rStyle w:val="Collegamentoipertestuale"/>
                <w:rFonts w:ascii="Bookman Old Style" w:hAnsi="Bookman Old Style"/>
                <w:b/>
                <w:bCs/>
                <w:noProof/>
              </w:rPr>
              <w:t>Incarichi temporanei nelle scuole infanzia paritarie</w:t>
            </w:r>
            <w:r w:rsidR="009E1B8B">
              <w:rPr>
                <w:noProof/>
                <w:webHidden/>
              </w:rPr>
              <w:tab/>
            </w:r>
            <w:r w:rsidR="009E1B8B">
              <w:rPr>
                <w:noProof/>
                <w:webHidden/>
              </w:rPr>
              <w:fldChar w:fldCharType="begin"/>
            </w:r>
            <w:r w:rsidR="009E1B8B">
              <w:rPr>
                <w:noProof/>
                <w:webHidden/>
              </w:rPr>
              <w:instrText xml:space="preserve"> PAGEREF _Toc121214313 \h </w:instrText>
            </w:r>
            <w:r w:rsidR="009E1B8B">
              <w:rPr>
                <w:noProof/>
                <w:webHidden/>
              </w:rPr>
            </w:r>
            <w:r w:rsidR="009E1B8B">
              <w:rPr>
                <w:noProof/>
                <w:webHidden/>
              </w:rPr>
              <w:fldChar w:fldCharType="separate"/>
            </w:r>
            <w:r w:rsidR="009E1B8B">
              <w:rPr>
                <w:noProof/>
                <w:webHidden/>
              </w:rPr>
              <w:t>55</w:t>
            </w:r>
            <w:r w:rsidR="009E1B8B">
              <w:rPr>
                <w:noProof/>
                <w:webHidden/>
              </w:rPr>
              <w:fldChar w:fldCharType="end"/>
            </w:r>
          </w:hyperlink>
        </w:p>
        <w:p w14:paraId="095C7093" w14:textId="12283FB0" w:rsidR="009E1B8B" w:rsidRDefault="002B0482">
          <w:pPr>
            <w:pStyle w:val="Sommario3"/>
            <w:rPr>
              <w:rFonts w:eastAsiaTheme="minorEastAsia"/>
              <w:noProof/>
              <w:lang w:eastAsia="it-IT"/>
            </w:rPr>
          </w:pPr>
          <w:hyperlink w:anchor="_Toc121214314" w:history="1">
            <w:r w:rsidR="009E1B8B" w:rsidRPr="00851F5B">
              <w:rPr>
                <w:rStyle w:val="Collegamentoipertestuale"/>
                <w:rFonts w:ascii="Bookman Old Style" w:hAnsi="Bookman Old Style"/>
                <w:b/>
                <w:bCs/>
                <w:noProof/>
              </w:rPr>
              <w:t>63.</w:t>
            </w:r>
            <w:r w:rsidR="009E1B8B">
              <w:rPr>
                <w:rFonts w:eastAsiaTheme="minorEastAsia"/>
                <w:noProof/>
                <w:lang w:eastAsia="it-IT"/>
              </w:rPr>
              <w:tab/>
            </w:r>
            <w:r w:rsidR="009E1B8B" w:rsidRPr="00851F5B">
              <w:rPr>
                <w:rStyle w:val="Collegamentoipertestuale"/>
                <w:rFonts w:ascii="Bookman Old Style" w:hAnsi="Bookman Old Style"/>
                <w:b/>
                <w:bCs/>
                <w:noProof/>
              </w:rPr>
              <w:t>Libri di testo scuole primarie</w:t>
            </w:r>
            <w:r w:rsidR="009E1B8B">
              <w:rPr>
                <w:noProof/>
                <w:webHidden/>
              </w:rPr>
              <w:tab/>
            </w:r>
            <w:r w:rsidR="009E1B8B">
              <w:rPr>
                <w:noProof/>
                <w:webHidden/>
              </w:rPr>
              <w:fldChar w:fldCharType="begin"/>
            </w:r>
            <w:r w:rsidR="009E1B8B">
              <w:rPr>
                <w:noProof/>
                <w:webHidden/>
              </w:rPr>
              <w:instrText xml:space="preserve"> PAGEREF _Toc121214314 \h </w:instrText>
            </w:r>
            <w:r w:rsidR="009E1B8B">
              <w:rPr>
                <w:noProof/>
                <w:webHidden/>
              </w:rPr>
            </w:r>
            <w:r w:rsidR="009E1B8B">
              <w:rPr>
                <w:noProof/>
                <w:webHidden/>
              </w:rPr>
              <w:fldChar w:fldCharType="separate"/>
            </w:r>
            <w:r w:rsidR="009E1B8B">
              <w:rPr>
                <w:noProof/>
                <w:webHidden/>
              </w:rPr>
              <w:t>56</w:t>
            </w:r>
            <w:r w:rsidR="009E1B8B">
              <w:rPr>
                <w:noProof/>
                <w:webHidden/>
              </w:rPr>
              <w:fldChar w:fldCharType="end"/>
            </w:r>
          </w:hyperlink>
        </w:p>
        <w:p w14:paraId="3A577ECF" w14:textId="02735F4E" w:rsidR="009E1B8B" w:rsidRDefault="002B0482">
          <w:pPr>
            <w:pStyle w:val="Sommario3"/>
            <w:rPr>
              <w:rFonts w:eastAsiaTheme="minorEastAsia"/>
              <w:noProof/>
              <w:lang w:eastAsia="it-IT"/>
            </w:rPr>
          </w:pPr>
          <w:hyperlink w:anchor="_Toc121214315" w:history="1">
            <w:r w:rsidR="009E1B8B" w:rsidRPr="00851F5B">
              <w:rPr>
                <w:rStyle w:val="Collegamentoipertestuale"/>
                <w:rFonts w:ascii="Bookman Old Style" w:hAnsi="Bookman Old Style"/>
                <w:b/>
                <w:bCs/>
                <w:noProof/>
              </w:rPr>
              <w:t>64.</w:t>
            </w:r>
            <w:r w:rsidR="009E1B8B">
              <w:rPr>
                <w:rFonts w:eastAsiaTheme="minorEastAsia"/>
                <w:noProof/>
                <w:lang w:eastAsia="it-IT"/>
              </w:rPr>
              <w:tab/>
            </w:r>
            <w:r w:rsidR="009E1B8B" w:rsidRPr="00851F5B">
              <w:rPr>
                <w:rStyle w:val="Collegamentoipertestuale"/>
                <w:rFonts w:ascii="Bookman Old Style" w:hAnsi="Bookman Old Style"/>
                <w:b/>
                <w:bCs/>
                <w:noProof/>
              </w:rPr>
              <w:t>Fondo mense biologiche</w:t>
            </w:r>
            <w:r w:rsidR="009E1B8B">
              <w:rPr>
                <w:noProof/>
                <w:webHidden/>
              </w:rPr>
              <w:tab/>
            </w:r>
            <w:r w:rsidR="009E1B8B">
              <w:rPr>
                <w:noProof/>
                <w:webHidden/>
              </w:rPr>
              <w:fldChar w:fldCharType="begin"/>
            </w:r>
            <w:r w:rsidR="009E1B8B">
              <w:rPr>
                <w:noProof/>
                <w:webHidden/>
              </w:rPr>
              <w:instrText xml:space="preserve"> PAGEREF _Toc121214315 \h </w:instrText>
            </w:r>
            <w:r w:rsidR="009E1B8B">
              <w:rPr>
                <w:noProof/>
                <w:webHidden/>
              </w:rPr>
            </w:r>
            <w:r w:rsidR="009E1B8B">
              <w:rPr>
                <w:noProof/>
                <w:webHidden/>
              </w:rPr>
              <w:fldChar w:fldCharType="separate"/>
            </w:r>
            <w:r w:rsidR="009E1B8B">
              <w:rPr>
                <w:noProof/>
                <w:webHidden/>
              </w:rPr>
              <w:t>56</w:t>
            </w:r>
            <w:r w:rsidR="009E1B8B">
              <w:rPr>
                <w:noProof/>
                <w:webHidden/>
              </w:rPr>
              <w:fldChar w:fldCharType="end"/>
            </w:r>
          </w:hyperlink>
        </w:p>
        <w:p w14:paraId="49A8A902" w14:textId="5ACB6C12" w:rsidR="009E1B8B" w:rsidRDefault="002B0482">
          <w:pPr>
            <w:pStyle w:val="Sommario3"/>
            <w:rPr>
              <w:rFonts w:eastAsiaTheme="minorEastAsia"/>
              <w:noProof/>
              <w:lang w:eastAsia="it-IT"/>
            </w:rPr>
          </w:pPr>
          <w:hyperlink w:anchor="_Toc121214316" w:history="1">
            <w:r w:rsidR="009E1B8B" w:rsidRPr="00851F5B">
              <w:rPr>
                <w:rStyle w:val="Collegamentoipertestuale"/>
                <w:rFonts w:ascii="Bookman Old Style" w:hAnsi="Bookman Old Style"/>
                <w:b/>
                <w:bCs/>
                <w:noProof/>
              </w:rPr>
              <w:t>65.</w:t>
            </w:r>
            <w:r w:rsidR="009E1B8B">
              <w:rPr>
                <w:rFonts w:eastAsiaTheme="minorEastAsia"/>
                <w:noProof/>
                <w:lang w:eastAsia="it-IT"/>
              </w:rPr>
              <w:tab/>
            </w:r>
            <w:r w:rsidR="009E1B8B" w:rsidRPr="00851F5B">
              <w:rPr>
                <w:rStyle w:val="Collegamentoipertestuale"/>
                <w:rFonts w:ascii="Bookman Old Style" w:hAnsi="Bookman Old Style"/>
                <w:b/>
                <w:bCs/>
                <w:noProof/>
              </w:rPr>
              <w:t>Dimensionamento rete scolastica</w:t>
            </w:r>
            <w:r w:rsidR="009E1B8B">
              <w:rPr>
                <w:noProof/>
                <w:webHidden/>
              </w:rPr>
              <w:tab/>
            </w:r>
            <w:r w:rsidR="009E1B8B">
              <w:rPr>
                <w:noProof/>
                <w:webHidden/>
              </w:rPr>
              <w:fldChar w:fldCharType="begin"/>
            </w:r>
            <w:r w:rsidR="009E1B8B">
              <w:rPr>
                <w:noProof/>
                <w:webHidden/>
              </w:rPr>
              <w:instrText xml:space="preserve"> PAGEREF _Toc121214316 \h </w:instrText>
            </w:r>
            <w:r w:rsidR="009E1B8B">
              <w:rPr>
                <w:noProof/>
                <w:webHidden/>
              </w:rPr>
            </w:r>
            <w:r w:rsidR="009E1B8B">
              <w:rPr>
                <w:noProof/>
                <w:webHidden/>
              </w:rPr>
              <w:fldChar w:fldCharType="separate"/>
            </w:r>
            <w:r w:rsidR="009E1B8B">
              <w:rPr>
                <w:noProof/>
                <w:webHidden/>
              </w:rPr>
              <w:t>57</w:t>
            </w:r>
            <w:r w:rsidR="009E1B8B">
              <w:rPr>
                <w:noProof/>
                <w:webHidden/>
              </w:rPr>
              <w:fldChar w:fldCharType="end"/>
            </w:r>
          </w:hyperlink>
        </w:p>
        <w:p w14:paraId="66689B73" w14:textId="4949A6B0" w:rsidR="009E1B8B" w:rsidRDefault="002B0482">
          <w:pPr>
            <w:pStyle w:val="Sommario1"/>
            <w:rPr>
              <w:rFonts w:asciiTheme="minorHAnsi" w:eastAsiaTheme="minorEastAsia" w:hAnsiTheme="minorHAnsi" w:cstheme="minorBidi"/>
              <w:b w:val="0"/>
              <w:bCs w:val="0"/>
              <w:sz w:val="22"/>
              <w:szCs w:val="22"/>
            </w:rPr>
          </w:pPr>
          <w:hyperlink w:anchor="_Toc121214317" w:history="1">
            <w:r w:rsidR="009E1B8B" w:rsidRPr="00851F5B">
              <w:rPr>
                <w:rStyle w:val="Collegamentoipertestuale"/>
                <w:rFonts w:eastAsia="Times New Roman"/>
              </w:rPr>
              <w:t>CULTURA – TURISMO</w:t>
            </w:r>
            <w:r w:rsidR="009E1B8B">
              <w:rPr>
                <w:webHidden/>
              </w:rPr>
              <w:tab/>
            </w:r>
            <w:r w:rsidR="009E1B8B">
              <w:rPr>
                <w:webHidden/>
              </w:rPr>
              <w:fldChar w:fldCharType="begin"/>
            </w:r>
            <w:r w:rsidR="009E1B8B">
              <w:rPr>
                <w:webHidden/>
              </w:rPr>
              <w:instrText xml:space="preserve"> PAGEREF _Toc121214317 \h </w:instrText>
            </w:r>
            <w:r w:rsidR="009E1B8B">
              <w:rPr>
                <w:webHidden/>
              </w:rPr>
            </w:r>
            <w:r w:rsidR="009E1B8B">
              <w:rPr>
                <w:webHidden/>
              </w:rPr>
              <w:fldChar w:fldCharType="separate"/>
            </w:r>
            <w:r w:rsidR="009E1B8B">
              <w:rPr>
                <w:webHidden/>
              </w:rPr>
              <w:t>57</w:t>
            </w:r>
            <w:r w:rsidR="009E1B8B">
              <w:rPr>
                <w:webHidden/>
              </w:rPr>
              <w:fldChar w:fldCharType="end"/>
            </w:r>
          </w:hyperlink>
        </w:p>
        <w:p w14:paraId="56206FEE" w14:textId="64396945" w:rsidR="009E1B8B" w:rsidRDefault="002B0482">
          <w:pPr>
            <w:pStyle w:val="Sommario3"/>
            <w:rPr>
              <w:rFonts w:eastAsiaTheme="minorEastAsia"/>
              <w:noProof/>
              <w:lang w:eastAsia="it-IT"/>
            </w:rPr>
          </w:pPr>
          <w:hyperlink w:anchor="_Toc121214318" w:history="1">
            <w:r w:rsidR="009E1B8B" w:rsidRPr="00851F5B">
              <w:rPr>
                <w:rStyle w:val="Collegamentoipertestuale"/>
                <w:rFonts w:ascii="Bookman Old Style" w:hAnsi="Bookman Old Style"/>
                <w:b/>
                <w:bCs/>
                <w:noProof/>
              </w:rPr>
              <w:t>66.</w:t>
            </w:r>
            <w:r w:rsidR="009E1B8B">
              <w:rPr>
                <w:rFonts w:eastAsiaTheme="minorEastAsia"/>
                <w:noProof/>
                <w:lang w:eastAsia="it-IT"/>
              </w:rPr>
              <w:tab/>
            </w:r>
            <w:r w:rsidR="009E1B8B" w:rsidRPr="00851F5B">
              <w:rPr>
                <w:rStyle w:val="Collegamentoipertestuale"/>
                <w:rFonts w:ascii="Bookman Old Style" w:hAnsi="Bookman Old Style"/>
                <w:b/>
                <w:bCs/>
                <w:noProof/>
              </w:rPr>
              <w:t>Fondo per il funzionamento dei piccoli musei</w:t>
            </w:r>
            <w:r w:rsidR="009E1B8B">
              <w:rPr>
                <w:noProof/>
                <w:webHidden/>
              </w:rPr>
              <w:tab/>
            </w:r>
            <w:r w:rsidR="009E1B8B">
              <w:rPr>
                <w:noProof/>
                <w:webHidden/>
              </w:rPr>
              <w:fldChar w:fldCharType="begin"/>
            </w:r>
            <w:r w:rsidR="009E1B8B">
              <w:rPr>
                <w:noProof/>
                <w:webHidden/>
              </w:rPr>
              <w:instrText xml:space="preserve"> PAGEREF _Toc121214318 \h </w:instrText>
            </w:r>
            <w:r w:rsidR="009E1B8B">
              <w:rPr>
                <w:noProof/>
                <w:webHidden/>
              </w:rPr>
            </w:r>
            <w:r w:rsidR="009E1B8B">
              <w:rPr>
                <w:noProof/>
                <w:webHidden/>
              </w:rPr>
              <w:fldChar w:fldCharType="separate"/>
            </w:r>
            <w:r w:rsidR="009E1B8B">
              <w:rPr>
                <w:noProof/>
                <w:webHidden/>
              </w:rPr>
              <w:t>57</w:t>
            </w:r>
            <w:r w:rsidR="009E1B8B">
              <w:rPr>
                <w:noProof/>
                <w:webHidden/>
              </w:rPr>
              <w:fldChar w:fldCharType="end"/>
            </w:r>
          </w:hyperlink>
        </w:p>
        <w:p w14:paraId="3572DF8B" w14:textId="661E69C4" w:rsidR="009E1B8B" w:rsidRDefault="002B0482">
          <w:pPr>
            <w:pStyle w:val="Sommario3"/>
            <w:rPr>
              <w:rFonts w:eastAsiaTheme="minorEastAsia"/>
              <w:noProof/>
              <w:lang w:eastAsia="it-IT"/>
            </w:rPr>
          </w:pPr>
          <w:hyperlink w:anchor="_Toc121214319" w:history="1">
            <w:r w:rsidR="009E1B8B" w:rsidRPr="00851F5B">
              <w:rPr>
                <w:rStyle w:val="Collegamentoipertestuale"/>
                <w:rFonts w:ascii="Bookman Old Style" w:hAnsi="Bookman Old Style"/>
                <w:b/>
                <w:bCs/>
                <w:noProof/>
              </w:rPr>
              <w:t>67.</w:t>
            </w:r>
            <w:r w:rsidR="009E1B8B">
              <w:rPr>
                <w:rFonts w:eastAsiaTheme="minorEastAsia"/>
                <w:noProof/>
                <w:lang w:eastAsia="it-IT"/>
              </w:rPr>
              <w:tab/>
            </w:r>
            <w:r w:rsidR="009E1B8B" w:rsidRPr="00851F5B">
              <w:rPr>
                <w:rStyle w:val="Collegamentoipertestuale"/>
                <w:rFonts w:ascii="Bookman Old Style" w:hAnsi="Bookman Old Style"/>
                <w:b/>
                <w:bCs/>
                <w:noProof/>
              </w:rPr>
              <w:t>Aumento della dotazione finanziaria della Legge 13 febbraio 2020, n. 15 Disposizioni per la promozione e il sostegno della lettura</w:t>
            </w:r>
            <w:r w:rsidR="009E1B8B">
              <w:rPr>
                <w:noProof/>
                <w:webHidden/>
              </w:rPr>
              <w:tab/>
            </w:r>
            <w:r w:rsidR="009E1B8B">
              <w:rPr>
                <w:noProof/>
                <w:webHidden/>
              </w:rPr>
              <w:fldChar w:fldCharType="begin"/>
            </w:r>
            <w:r w:rsidR="009E1B8B">
              <w:rPr>
                <w:noProof/>
                <w:webHidden/>
              </w:rPr>
              <w:instrText xml:space="preserve"> PAGEREF _Toc121214319 \h </w:instrText>
            </w:r>
            <w:r w:rsidR="009E1B8B">
              <w:rPr>
                <w:noProof/>
                <w:webHidden/>
              </w:rPr>
            </w:r>
            <w:r w:rsidR="009E1B8B">
              <w:rPr>
                <w:noProof/>
                <w:webHidden/>
              </w:rPr>
              <w:fldChar w:fldCharType="separate"/>
            </w:r>
            <w:r w:rsidR="009E1B8B">
              <w:rPr>
                <w:noProof/>
                <w:webHidden/>
              </w:rPr>
              <w:t>58</w:t>
            </w:r>
            <w:r w:rsidR="009E1B8B">
              <w:rPr>
                <w:noProof/>
                <w:webHidden/>
              </w:rPr>
              <w:fldChar w:fldCharType="end"/>
            </w:r>
          </w:hyperlink>
        </w:p>
        <w:p w14:paraId="12F6A86C" w14:textId="22EE0E24" w:rsidR="009E1B8B" w:rsidRDefault="002B0482">
          <w:pPr>
            <w:pStyle w:val="Sommario3"/>
            <w:rPr>
              <w:rFonts w:eastAsiaTheme="minorEastAsia"/>
              <w:noProof/>
              <w:lang w:eastAsia="it-IT"/>
            </w:rPr>
          </w:pPr>
          <w:hyperlink w:anchor="_Toc121214320" w:history="1">
            <w:r w:rsidR="009E1B8B" w:rsidRPr="00851F5B">
              <w:rPr>
                <w:rStyle w:val="Collegamentoipertestuale"/>
                <w:rFonts w:ascii="Bookman Old Style" w:hAnsi="Bookman Old Style"/>
                <w:b/>
                <w:bCs/>
                <w:noProof/>
              </w:rPr>
              <w:t>68.</w:t>
            </w:r>
            <w:r w:rsidR="009E1B8B">
              <w:rPr>
                <w:rFonts w:eastAsiaTheme="minorEastAsia"/>
                <w:noProof/>
                <w:lang w:eastAsia="it-IT"/>
              </w:rPr>
              <w:tab/>
            </w:r>
            <w:r w:rsidR="009E1B8B" w:rsidRPr="00851F5B">
              <w:rPr>
                <w:rStyle w:val="Collegamentoipertestuale"/>
                <w:rFonts w:ascii="Bookman Old Style" w:hAnsi="Bookman Old Style"/>
                <w:b/>
                <w:bCs/>
                <w:noProof/>
              </w:rPr>
              <w:t>Aumento della dotazione del Fondo a favore delle biblioteche e modifica delle modalità di funzionamento</w:t>
            </w:r>
            <w:r w:rsidR="009E1B8B">
              <w:rPr>
                <w:noProof/>
                <w:webHidden/>
              </w:rPr>
              <w:tab/>
            </w:r>
            <w:r w:rsidR="009E1B8B">
              <w:rPr>
                <w:noProof/>
                <w:webHidden/>
              </w:rPr>
              <w:fldChar w:fldCharType="begin"/>
            </w:r>
            <w:r w:rsidR="009E1B8B">
              <w:rPr>
                <w:noProof/>
                <w:webHidden/>
              </w:rPr>
              <w:instrText xml:space="preserve"> PAGEREF _Toc121214320 \h </w:instrText>
            </w:r>
            <w:r w:rsidR="009E1B8B">
              <w:rPr>
                <w:noProof/>
                <w:webHidden/>
              </w:rPr>
            </w:r>
            <w:r w:rsidR="009E1B8B">
              <w:rPr>
                <w:noProof/>
                <w:webHidden/>
              </w:rPr>
              <w:fldChar w:fldCharType="separate"/>
            </w:r>
            <w:r w:rsidR="009E1B8B">
              <w:rPr>
                <w:noProof/>
                <w:webHidden/>
              </w:rPr>
              <w:t>58</w:t>
            </w:r>
            <w:r w:rsidR="009E1B8B">
              <w:rPr>
                <w:noProof/>
                <w:webHidden/>
              </w:rPr>
              <w:fldChar w:fldCharType="end"/>
            </w:r>
          </w:hyperlink>
        </w:p>
        <w:p w14:paraId="1BA7F14E" w14:textId="21138D73" w:rsidR="009E1B8B" w:rsidRDefault="002B0482">
          <w:pPr>
            <w:pStyle w:val="Sommario3"/>
            <w:rPr>
              <w:rFonts w:eastAsiaTheme="minorEastAsia"/>
              <w:noProof/>
              <w:lang w:eastAsia="it-IT"/>
            </w:rPr>
          </w:pPr>
          <w:hyperlink w:anchor="_Toc121214321" w:history="1">
            <w:r w:rsidR="009E1B8B" w:rsidRPr="00851F5B">
              <w:rPr>
                <w:rStyle w:val="Collegamentoipertestuale"/>
                <w:rFonts w:ascii="Bookman Old Style" w:hAnsi="Bookman Old Style"/>
                <w:b/>
                <w:bCs/>
                <w:noProof/>
              </w:rPr>
              <w:t>69.</w:t>
            </w:r>
            <w:r w:rsidR="009E1B8B">
              <w:rPr>
                <w:rFonts w:eastAsiaTheme="minorEastAsia"/>
                <w:noProof/>
                <w:lang w:eastAsia="it-IT"/>
              </w:rPr>
              <w:tab/>
            </w:r>
            <w:r w:rsidR="009E1B8B" w:rsidRPr="00851F5B">
              <w:rPr>
                <w:rStyle w:val="Collegamentoipertestuale"/>
                <w:rFonts w:ascii="Bookman Old Style" w:hAnsi="Bookman Old Style"/>
                <w:b/>
                <w:bCs/>
                <w:noProof/>
              </w:rPr>
              <w:t>Adozione del nuovo Fondo unico nazionale per il turismo</w:t>
            </w:r>
            <w:r w:rsidR="009E1B8B">
              <w:rPr>
                <w:noProof/>
                <w:webHidden/>
              </w:rPr>
              <w:tab/>
            </w:r>
            <w:r w:rsidR="009E1B8B">
              <w:rPr>
                <w:noProof/>
                <w:webHidden/>
              </w:rPr>
              <w:fldChar w:fldCharType="begin"/>
            </w:r>
            <w:r w:rsidR="009E1B8B">
              <w:rPr>
                <w:noProof/>
                <w:webHidden/>
              </w:rPr>
              <w:instrText xml:space="preserve"> PAGEREF _Toc121214321 \h </w:instrText>
            </w:r>
            <w:r w:rsidR="009E1B8B">
              <w:rPr>
                <w:noProof/>
                <w:webHidden/>
              </w:rPr>
            </w:r>
            <w:r w:rsidR="009E1B8B">
              <w:rPr>
                <w:noProof/>
                <w:webHidden/>
              </w:rPr>
              <w:fldChar w:fldCharType="separate"/>
            </w:r>
            <w:r w:rsidR="009E1B8B">
              <w:rPr>
                <w:noProof/>
                <w:webHidden/>
              </w:rPr>
              <w:t>59</w:t>
            </w:r>
            <w:r w:rsidR="009E1B8B">
              <w:rPr>
                <w:noProof/>
                <w:webHidden/>
              </w:rPr>
              <w:fldChar w:fldCharType="end"/>
            </w:r>
          </w:hyperlink>
        </w:p>
        <w:p w14:paraId="14E10E69" w14:textId="4A421941" w:rsidR="009E1B8B" w:rsidRDefault="002B0482">
          <w:pPr>
            <w:pStyle w:val="Sommario1"/>
            <w:rPr>
              <w:rFonts w:asciiTheme="minorHAnsi" w:eastAsiaTheme="minorEastAsia" w:hAnsiTheme="minorHAnsi" w:cstheme="minorBidi"/>
              <w:b w:val="0"/>
              <w:bCs w:val="0"/>
              <w:sz w:val="22"/>
              <w:szCs w:val="22"/>
            </w:rPr>
          </w:pPr>
          <w:hyperlink w:anchor="_Toc121214322" w:history="1">
            <w:r w:rsidR="009E1B8B" w:rsidRPr="00851F5B">
              <w:rPr>
                <w:rStyle w:val="Collegamentoipertestuale"/>
                <w:rFonts w:eastAsia="Times New Roman"/>
              </w:rPr>
              <w:t>PICCOLI COMUNI E GESTIONI ASSOCIATE</w:t>
            </w:r>
            <w:r w:rsidR="009E1B8B">
              <w:rPr>
                <w:webHidden/>
              </w:rPr>
              <w:tab/>
            </w:r>
            <w:r w:rsidR="009E1B8B">
              <w:rPr>
                <w:webHidden/>
              </w:rPr>
              <w:fldChar w:fldCharType="begin"/>
            </w:r>
            <w:r w:rsidR="009E1B8B">
              <w:rPr>
                <w:webHidden/>
              </w:rPr>
              <w:instrText xml:space="preserve"> PAGEREF _Toc121214322 \h </w:instrText>
            </w:r>
            <w:r w:rsidR="009E1B8B">
              <w:rPr>
                <w:webHidden/>
              </w:rPr>
            </w:r>
            <w:r w:rsidR="009E1B8B">
              <w:rPr>
                <w:webHidden/>
              </w:rPr>
              <w:fldChar w:fldCharType="separate"/>
            </w:r>
            <w:r w:rsidR="009E1B8B">
              <w:rPr>
                <w:webHidden/>
              </w:rPr>
              <w:t>59</w:t>
            </w:r>
            <w:r w:rsidR="009E1B8B">
              <w:rPr>
                <w:webHidden/>
              </w:rPr>
              <w:fldChar w:fldCharType="end"/>
            </w:r>
          </w:hyperlink>
        </w:p>
        <w:p w14:paraId="18F29A27" w14:textId="40D5B8EE" w:rsidR="009E1B8B" w:rsidRDefault="002B0482">
          <w:pPr>
            <w:pStyle w:val="Sommario3"/>
            <w:rPr>
              <w:rFonts w:eastAsiaTheme="minorEastAsia"/>
              <w:noProof/>
              <w:lang w:eastAsia="it-IT"/>
            </w:rPr>
          </w:pPr>
          <w:hyperlink w:anchor="_Toc121214323" w:history="1">
            <w:r w:rsidR="009E1B8B" w:rsidRPr="00851F5B">
              <w:rPr>
                <w:rStyle w:val="Collegamentoipertestuale"/>
                <w:rFonts w:ascii="Bookman Old Style" w:hAnsi="Bookman Old Style"/>
                <w:b/>
                <w:bCs/>
                <w:noProof/>
              </w:rPr>
              <w:t>70.</w:t>
            </w:r>
            <w:r w:rsidR="009E1B8B">
              <w:rPr>
                <w:rFonts w:eastAsiaTheme="minorEastAsia"/>
                <w:noProof/>
                <w:lang w:eastAsia="it-IT"/>
              </w:rPr>
              <w:tab/>
            </w:r>
            <w:r w:rsidR="009E1B8B" w:rsidRPr="00851F5B">
              <w:rPr>
                <w:rStyle w:val="Collegamentoipertestuale"/>
                <w:rFonts w:ascii="Bookman Old Style" w:hAnsi="Bookman Old Style"/>
                <w:b/>
                <w:bCs/>
                <w:noProof/>
              </w:rPr>
              <w:t>Interventi a favore delle gestioni associate</w:t>
            </w:r>
            <w:r w:rsidR="009E1B8B">
              <w:rPr>
                <w:noProof/>
                <w:webHidden/>
              </w:rPr>
              <w:tab/>
            </w:r>
            <w:r w:rsidR="009E1B8B">
              <w:rPr>
                <w:noProof/>
                <w:webHidden/>
              </w:rPr>
              <w:fldChar w:fldCharType="begin"/>
            </w:r>
            <w:r w:rsidR="009E1B8B">
              <w:rPr>
                <w:noProof/>
                <w:webHidden/>
              </w:rPr>
              <w:instrText xml:space="preserve"> PAGEREF _Toc121214323 \h </w:instrText>
            </w:r>
            <w:r w:rsidR="009E1B8B">
              <w:rPr>
                <w:noProof/>
                <w:webHidden/>
              </w:rPr>
            </w:r>
            <w:r w:rsidR="009E1B8B">
              <w:rPr>
                <w:noProof/>
                <w:webHidden/>
              </w:rPr>
              <w:fldChar w:fldCharType="separate"/>
            </w:r>
            <w:r w:rsidR="009E1B8B">
              <w:rPr>
                <w:noProof/>
                <w:webHidden/>
              </w:rPr>
              <w:t>59</w:t>
            </w:r>
            <w:r w:rsidR="009E1B8B">
              <w:rPr>
                <w:noProof/>
                <w:webHidden/>
              </w:rPr>
              <w:fldChar w:fldCharType="end"/>
            </w:r>
          </w:hyperlink>
        </w:p>
        <w:p w14:paraId="2E109300" w14:textId="77E3096E" w:rsidR="009E1B8B" w:rsidRDefault="002B0482">
          <w:pPr>
            <w:pStyle w:val="Sommario3"/>
            <w:rPr>
              <w:rFonts w:eastAsiaTheme="minorEastAsia"/>
              <w:noProof/>
              <w:lang w:eastAsia="it-IT"/>
            </w:rPr>
          </w:pPr>
          <w:hyperlink w:anchor="_Toc121214324" w:history="1">
            <w:r w:rsidR="009E1B8B" w:rsidRPr="00851F5B">
              <w:rPr>
                <w:rStyle w:val="Collegamentoipertestuale"/>
                <w:rFonts w:ascii="Bookman Old Style" w:hAnsi="Bookman Old Style"/>
                <w:b/>
                <w:bCs/>
                <w:noProof/>
              </w:rPr>
              <w:t>71.</w:t>
            </w:r>
            <w:r w:rsidR="009E1B8B">
              <w:rPr>
                <w:rFonts w:eastAsiaTheme="minorEastAsia"/>
                <w:noProof/>
                <w:lang w:eastAsia="it-IT"/>
              </w:rPr>
              <w:tab/>
            </w:r>
            <w:r w:rsidR="009E1B8B" w:rsidRPr="00851F5B">
              <w:rPr>
                <w:rStyle w:val="Collegamentoipertestuale"/>
                <w:rFonts w:ascii="Bookman Old Style" w:hAnsi="Bookman Old Style"/>
                <w:b/>
                <w:bCs/>
                <w:noProof/>
              </w:rPr>
              <w:t>Riferimento demografico per indennità</w:t>
            </w:r>
            <w:r w:rsidR="009E1B8B">
              <w:rPr>
                <w:noProof/>
                <w:webHidden/>
              </w:rPr>
              <w:tab/>
            </w:r>
            <w:r w:rsidR="009E1B8B">
              <w:rPr>
                <w:noProof/>
                <w:webHidden/>
              </w:rPr>
              <w:fldChar w:fldCharType="begin"/>
            </w:r>
            <w:r w:rsidR="009E1B8B">
              <w:rPr>
                <w:noProof/>
                <w:webHidden/>
              </w:rPr>
              <w:instrText xml:space="preserve"> PAGEREF _Toc121214324 \h </w:instrText>
            </w:r>
            <w:r w:rsidR="009E1B8B">
              <w:rPr>
                <w:noProof/>
                <w:webHidden/>
              </w:rPr>
            </w:r>
            <w:r w:rsidR="009E1B8B">
              <w:rPr>
                <w:noProof/>
                <w:webHidden/>
              </w:rPr>
              <w:fldChar w:fldCharType="separate"/>
            </w:r>
            <w:r w:rsidR="009E1B8B">
              <w:rPr>
                <w:noProof/>
                <w:webHidden/>
              </w:rPr>
              <w:t>60</w:t>
            </w:r>
            <w:r w:rsidR="009E1B8B">
              <w:rPr>
                <w:noProof/>
                <w:webHidden/>
              </w:rPr>
              <w:fldChar w:fldCharType="end"/>
            </w:r>
          </w:hyperlink>
        </w:p>
        <w:p w14:paraId="4CE42FC1" w14:textId="210E6338" w:rsidR="009E1B8B" w:rsidRDefault="002B0482">
          <w:pPr>
            <w:pStyle w:val="Sommario1"/>
            <w:rPr>
              <w:rFonts w:asciiTheme="minorHAnsi" w:eastAsiaTheme="minorEastAsia" w:hAnsiTheme="minorHAnsi" w:cstheme="minorBidi"/>
              <w:b w:val="0"/>
              <w:bCs w:val="0"/>
              <w:sz w:val="22"/>
              <w:szCs w:val="22"/>
            </w:rPr>
          </w:pPr>
          <w:hyperlink w:anchor="_Toc121214325" w:history="1">
            <w:r w:rsidR="009E1B8B" w:rsidRPr="00851F5B">
              <w:rPr>
                <w:rStyle w:val="Collegamentoipertestuale"/>
                <w:rFonts w:eastAsia="Times New Roman"/>
              </w:rPr>
              <w:t>IMMIGRAZIONE</w:t>
            </w:r>
            <w:r w:rsidR="009E1B8B">
              <w:rPr>
                <w:webHidden/>
              </w:rPr>
              <w:tab/>
            </w:r>
            <w:r w:rsidR="009E1B8B">
              <w:rPr>
                <w:webHidden/>
              </w:rPr>
              <w:fldChar w:fldCharType="begin"/>
            </w:r>
            <w:r w:rsidR="009E1B8B">
              <w:rPr>
                <w:webHidden/>
              </w:rPr>
              <w:instrText xml:space="preserve"> PAGEREF _Toc121214325 \h </w:instrText>
            </w:r>
            <w:r w:rsidR="009E1B8B">
              <w:rPr>
                <w:webHidden/>
              </w:rPr>
            </w:r>
            <w:r w:rsidR="009E1B8B">
              <w:rPr>
                <w:webHidden/>
              </w:rPr>
              <w:fldChar w:fldCharType="separate"/>
            </w:r>
            <w:r w:rsidR="009E1B8B">
              <w:rPr>
                <w:webHidden/>
              </w:rPr>
              <w:t>60</w:t>
            </w:r>
            <w:r w:rsidR="009E1B8B">
              <w:rPr>
                <w:webHidden/>
              </w:rPr>
              <w:fldChar w:fldCharType="end"/>
            </w:r>
          </w:hyperlink>
        </w:p>
        <w:p w14:paraId="6908E743" w14:textId="6726613C" w:rsidR="009E1B8B" w:rsidRDefault="002B0482">
          <w:pPr>
            <w:pStyle w:val="Sommario3"/>
            <w:rPr>
              <w:rFonts w:eastAsiaTheme="minorEastAsia"/>
              <w:noProof/>
              <w:lang w:eastAsia="it-IT"/>
            </w:rPr>
          </w:pPr>
          <w:hyperlink w:anchor="_Toc121214326" w:history="1">
            <w:r w:rsidR="009E1B8B" w:rsidRPr="00851F5B">
              <w:rPr>
                <w:rStyle w:val="Collegamentoipertestuale"/>
                <w:rFonts w:ascii="Bookman Old Style" w:hAnsi="Bookman Old Style"/>
                <w:b/>
                <w:bCs/>
                <w:noProof/>
              </w:rPr>
              <w:t>72.</w:t>
            </w:r>
            <w:r w:rsidR="009E1B8B">
              <w:rPr>
                <w:rFonts w:eastAsiaTheme="minorEastAsia"/>
                <w:noProof/>
                <w:lang w:eastAsia="it-IT"/>
              </w:rPr>
              <w:tab/>
            </w:r>
            <w:r w:rsidR="009E1B8B" w:rsidRPr="00851F5B">
              <w:rPr>
                <w:rStyle w:val="Collegamentoipertestuale"/>
                <w:rFonts w:ascii="Bookman Old Style" w:hAnsi="Bookman Old Style"/>
                <w:b/>
                <w:bCs/>
                <w:noProof/>
              </w:rPr>
              <w:t>Ampliamento rete SAI- Sistema di Accoglienza e Integrazione</w:t>
            </w:r>
            <w:r w:rsidR="009E1B8B">
              <w:rPr>
                <w:noProof/>
                <w:webHidden/>
              </w:rPr>
              <w:tab/>
            </w:r>
            <w:r w:rsidR="009E1B8B">
              <w:rPr>
                <w:noProof/>
                <w:webHidden/>
              </w:rPr>
              <w:fldChar w:fldCharType="begin"/>
            </w:r>
            <w:r w:rsidR="009E1B8B">
              <w:rPr>
                <w:noProof/>
                <w:webHidden/>
              </w:rPr>
              <w:instrText xml:space="preserve"> PAGEREF _Toc121214326 \h </w:instrText>
            </w:r>
            <w:r w:rsidR="009E1B8B">
              <w:rPr>
                <w:noProof/>
                <w:webHidden/>
              </w:rPr>
            </w:r>
            <w:r w:rsidR="009E1B8B">
              <w:rPr>
                <w:noProof/>
                <w:webHidden/>
              </w:rPr>
              <w:fldChar w:fldCharType="separate"/>
            </w:r>
            <w:r w:rsidR="009E1B8B">
              <w:rPr>
                <w:noProof/>
                <w:webHidden/>
              </w:rPr>
              <w:t>60</w:t>
            </w:r>
            <w:r w:rsidR="009E1B8B">
              <w:rPr>
                <w:noProof/>
                <w:webHidden/>
              </w:rPr>
              <w:fldChar w:fldCharType="end"/>
            </w:r>
          </w:hyperlink>
        </w:p>
        <w:p w14:paraId="159CE19D" w14:textId="3F60302C" w:rsidR="009E1B8B" w:rsidRDefault="002B0482">
          <w:pPr>
            <w:pStyle w:val="Sommario1"/>
            <w:rPr>
              <w:rFonts w:asciiTheme="minorHAnsi" w:eastAsiaTheme="minorEastAsia" w:hAnsiTheme="minorHAnsi" w:cstheme="minorBidi"/>
              <w:b w:val="0"/>
              <w:bCs w:val="0"/>
              <w:sz w:val="22"/>
              <w:szCs w:val="22"/>
            </w:rPr>
          </w:pPr>
          <w:hyperlink w:anchor="_Toc121214327" w:history="1">
            <w:r w:rsidR="009E1B8B" w:rsidRPr="00851F5B">
              <w:rPr>
                <w:rStyle w:val="Collegamentoipertestuale"/>
              </w:rPr>
              <w:t>WELFARE</w:t>
            </w:r>
            <w:r w:rsidR="009E1B8B">
              <w:rPr>
                <w:webHidden/>
              </w:rPr>
              <w:tab/>
            </w:r>
            <w:r w:rsidR="009E1B8B">
              <w:rPr>
                <w:webHidden/>
              </w:rPr>
              <w:fldChar w:fldCharType="begin"/>
            </w:r>
            <w:r w:rsidR="009E1B8B">
              <w:rPr>
                <w:webHidden/>
              </w:rPr>
              <w:instrText xml:space="preserve"> PAGEREF _Toc121214327 \h </w:instrText>
            </w:r>
            <w:r w:rsidR="009E1B8B">
              <w:rPr>
                <w:webHidden/>
              </w:rPr>
            </w:r>
            <w:r w:rsidR="009E1B8B">
              <w:rPr>
                <w:webHidden/>
              </w:rPr>
              <w:fldChar w:fldCharType="separate"/>
            </w:r>
            <w:r w:rsidR="009E1B8B">
              <w:rPr>
                <w:webHidden/>
              </w:rPr>
              <w:t>61</w:t>
            </w:r>
            <w:r w:rsidR="009E1B8B">
              <w:rPr>
                <w:webHidden/>
              </w:rPr>
              <w:fldChar w:fldCharType="end"/>
            </w:r>
          </w:hyperlink>
        </w:p>
        <w:p w14:paraId="3E880992" w14:textId="716C16F7" w:rsidR="009E1B8B" w:rsidRDefault="002B0482">
          <w:pPr>
            <w:pStyle w:val="Sommario3"/>
            <w:rPr>
              <w:rFonts w:eastAsiaTheme="minorEastAsia"/>
              <w:noProof/>
              <w:lang w:eastAsia="it-IT"/>
            </w:rPr>
          </w:pPr>
          <w:hyperlink w:anchor="_Toc121214328" w:history="1">
            <w:r w:rsidR="009E1B8B" w:rsidRPr="00851F5B">
              <w:rPr>
                <w:rStyle w:val="Collegamentoipertestuale"/>
                <w:rFonts w:ascii="Bookman Old Style" w:hAnsi="Bookman Old Style"/>
                <w:b/>
                <w:bCs/>
                <w:noProof/>
              </w:rPr>
              <w:t>73.</w:t>
            </w:r>
            <w:r w:rsidR="009E1B8B">
              <w:rPr>
                <w:rFonts w:eastAsiaTheme="minorEastAsia"/>
                <w:noProof/>
                <w:lang w:eastAsia="it-IT"/>
              </w:rPr>
              <w:tab/>
            </w:r>
            <w:r w:rsidR="009E1B8B" w:rsidRPr="00851F5B">
              <w:rPr>
                <w:rStyle w:val="Collegamentoipertestuale"/>
                <w:rFonts w:ascii="Bookman Old Style" w:hAnsi="Bookman Old Style"/>
                <w:b/>
                <w:bCs/>
                <w:noProof/>
              </w:rPr>
              <w:t>Ampliamento ambito di utilizzo del Fondo per la lotta alla povertà e all’esclusione sociale</w:t>
            </w:r>
            <w:r w:rsidR="009E1B8B">
              <w:rPr>
                <w:noProof/>
                <w:webHidden/>
              </w:rPr>
              <w:tab/>
            </w:r>
            <w:r w:rsidR="009E1B8B">
              <w:rPr>
                <w:noProof/>
                <w:webHidden/>
              </w:rPr>
              <w:fldChar w:fldCharType="begin"/>
            </w:r>
            <w:r w:rsidR="009E1B8B">
              <w:rPr>
                <w:noProof/>
                <w:webHidden/>
              </w:rPr>
              <w:instrText xml:space="preserve"> PAGEREF _Toc121214328 \h </w:instrText>
            </w:r>
            <w:r w:rsidR="009E1B8B">
              <w:rPr>
                <w:noProof/>
                <w:webHidden/>
              </w:rPr>
            </w:r>
            <w:r w:rsidR="009E1B8B">
              <w:rPr>
                <w:noProof/>
                <w:webHidden/>
              </w:rPr>
              <w:fldChar w:fldCharType="separate"/>
            </w:r>
            <w:r w:rsidR="009E1B8B">
              <w:rPr>
                <w:noProof/>
                <w:webHidden/>
              </w:rPr>
              <w:t>61</w:t>
            </w:r>
            <w:r w:rsidR="009E1B8B">
              <w:rPr>
                <w:noProof/>
                <w:webHidden/>
              </w:rPr>
              <w:fldChar w:fldCharType="end"/>
            </w:r>
          </w:hyperlink>
        </w:p>
        <w:p w14:paraId="03E3EF19" w14:textId="65E605AB" w:rsidR="009E1B8B" w:rsidRDefault="002B0482">
          <w:pPr>
            <w:pStyle w:val="Sommario3"/>
            <w:rPr>
              <w:rFonts w:eastAsiaTheme="minorEastAsia"/>
              <w:noProof/>
              <w:lang w:eastAsia="it-IT"/>
            </w:rPr>
          </w:pPr>
          <w:hyperlink w:anchor="_Toc121214329" w:history="1">
            <w:r w:rsidR="009E1B8B" w:rsidRPr="00851F5B">
              <w:rPr>
                <w:rStyle w:val="Collegamentoipertestuale"/>
                <w:rFonts w:ascii="Bookman Old Style" w:hAnsi="Bookman Old Style"/>
                <w:b/>
                <w:bCs/>
                <w:noProof/>
              </w:rPr>
              <w:t>74.</w:t>
            </w:r>
            <w:r w:rsidR="009E1B8B">
              <w:rPr>
                <w:rFonts w:eastAsiaTheme="minorEastAsia"/>
                <w:noProof/>
                <w:lang w:eastAsia="it-IT"/>
              </w:rPr>
              <w:tab/>
            </w:r>
            <w:r w:rsidR="009E1B8B" w:rsidRPr="00851F5B">
              <w:rPr>
                <w:rStyle w:val="Collegamentoipertestuale"/>
                <w:rFonts w:ascii="Bookman Old Style" w:hAnsi="Bookman Old Style"/>
                <w:b/>
                <w:bCs/>
                <w:noProof/>
              </w:rPr>
              <w:t>RDC: abrogazione danno erariale per responsabile del procedimento del comune</w:t>
            </w:r>
            <w:r w:rsidR="009E1B8B">
              <w:rPr>
                <w:noProof/>
                <w:webHidden/>
              </w:rPr>
              <w:tab/>
            </w:r>
            <w:r w:rsidR="009E1B8B">
              <w:rPr>
                <w:noProof/>
                <w:webHidden/>
              </w:rPr>
              <w:fldChar w:fldCharType="begin"/>
            </w:r>
            <w:r w:rsidR="009E1B8B">
              <w:rPr>
                <w:noProof/>
                <w:webHidden/>
              </w:rPr>
              <w:instrText xml:space="preserve"> PAGEREF _Toc121214329 \h </w:instrText>
            </w:r>
            <w:r w:rsidR="009E1B8B">
              <w:rPr>
                <w:noProof/>
                <w:webHidden/>
              </w:rPr>
            </w:r>
            <w:r w:rsidR="009E1B8B">
              <w:rPr>
                <w:noProof/>
                <w:webHidden/>
              </w:rPr>
              <w:fldChar w:fldCharType="separate"/>
            </w:r>
            <w:r w:rsidR="009E1B8B">
              <w:rPr>
                <w:noProof/>
                <w:webHidden/>
              </w:rPr>
              <w:t>61</w:t>
            </w:r>
            <w:r w:rsidR="009E1B8B">
              <w:rPr>
                <w:noProof/>
                <w:webHidden/>
              </w:rPr>
              <w:fldChar w:fldCharType="end"/>
            </w:r>
          </w:hyperlink>
        </w:p>
        <w:p w14:paraId="5A584961" w14:textId="5CC86EB0" w:rsidR="009E1B8B" w:rsidRDefault="002B0482">
          <w:pPr>
            <w:pStyle w:val="Sommario3"/>
            <w:rPr>
              <w:rFonts w:eastAsiaTheme="minorEastAsia"/>
              <w:noProof/>
              <w:lang w:eastAsia="it-IT"/>
            </w:rPr>
          </w:pPr>
          <w:hyperlink w:anchor="_Toc121214330" w:history="1">
            <w:r w:rsidR="009E1B8B" w:rsidRPr="00851F5B">
              <w:rPr>
                <w:rStyle w:val="Collegamentoipertestuale"/>
                <w:rFonts w:ascii="Bookman Old Style" w:hAnsi="Bookman Old Style"/>
                <w:b/>
                <w:bCs/>
                <w:noProof/>
              </w:rPr>
              <w:t>75.</w:t>
            </w:r>
            <w:r w:rsidR="009E1B8B">
              <w:rPr>
                <w:rFonts w:eastAsiaTheme="minorEastAsia"/>
                <w:noProof/>
                <w:lang w:eastAsia="it-IT"/>
              </w:rPr>
              <w:tab/>
            </w:r>
            <w:r w:rsidR="009E1B8B" w:rsidRPr="00851F5B">
              <w:rPr>
                <w:rStyle w:val="Collegamentoipertestuale"/>
                <w:rFonts w:ascii="Bookman Old Style" w:hAnsi="Bookman Old Style"/>
                <w:b/>
                <w:bCs/>
                <w:noProof/>
              </w:rPr>
              <w:t>Progetti Utili alla Collettività (art. 59)</w:t>
            </w:r>
            <w:r w:rsidR="009E1B8B">
              <w:rPr>
                <w:noProof/>
                <w:webHidden/>
              </w:rPr>
              <w:tab/>
            </w:r>
            <w:r w:rsidR="009E1B8B">
              <w:rPr>
                <w:noProof/>
                <w:webHidden/>
              </w:rPr>
              <w:fldChar w:fldCharType="begin"/>
            </w:r>
            <w:r w:rsidR="009E1B8B">
              <w:rPr>
                <w:noProof/>
                <w:webHidden/>
              </w:rPr>
              <w:instrText xml:space="preserve"> PAGEREF _Toc121214330 \h </w:instrText>
            </w:r>
            <w:r w:rsidR="009E1B8B">
              <w:rPr>
                <w:noProof/>
                <w:webHidden/>
              </w:rPr>
            </w:r>
            <w:r w:rsidR="009E1B8B">
              <w:rPr>
                <w:noProof/>
                <w:webHidden/>
              </w:rPr>
              <w:fldChar w:fldCharType="separate"/>
            </w:r>
            <w:r w:rsidR="009E1B8B">
              <w:rPr>
                <w:noProof/>
                <w:webHidden/>
              </w:rPr>
              <w:t>61</w:t>
            </w:r>
            <w:r w:rsidR="009E1B8B">
              <w:rPr>
                <w:noProof/>
                <w:webHidden/>
              </w:rPr>
              <w:fldChar w:fldCharType="end"/>
            </w:r>
          </w:hyperlink>
        </w:p>
        <w:p w14:paraId="0803EA07" w14:textId="4123595B" w:rsidR="009E1B8B" w:rsidRDefault="002B0482">
          <w:pPr>
            <w:pStyle w:val="Sommario1"/>
            <w:rPr>
              <w:rFonts w:asciiTheme="minorHAnsi" w:eastAsiaTheme="minorEastAsia" w:hAnsiTheme="minorHAnsi" w:cstheme="minorBidi"/>
              <w:b w:val="0"/>
              <w:bCs w:val="0"/>
              <w:sz w:val="22"/>
              <w:szCs w:val="22"/>
            </w:rPr>
          </w:pPr>
          <w:hyperlink w:anchor="_Toc121214331" w:history="1">
            <w:r w:rsidR="009E1B8B" w:rsidRPr="00851F5B">
              <w:rPr>
                <w:rStyle w:val="Collegamentoipertestuale"/>
              </w:rPr>
              <w:t>AMBIENTE – PROTEZIONE CIVILE</w:t>
            </w:r>
            <w:r w:rsidR="009E1B8B">
              <w:rPr>
                <w:webHidden/>
              </w:rPr>
              <w:tab/>
            </w:r>
            <w:r w:rsidR="009E1B8B">
              <w:rPr>
                <w:webHidden/>
              </w:rPr>
              <w:fldChar w:fldCharType="begin"/>
            </w:r>
            <w:r w:rsidR="009E1B8B">
              <w:rPr>
                <w:webHidden/>
              </w:rPr>
              <w:instrText xml:space="preserve"> PAGEREF _Toc121214331 \h </w:instrText>
            </w:r>
            <w:r w:rsidR="009E1B8B">
              <w:rPr>
                <w:webHidden/>
              </w:rPr>
            </w:r>
            <w:r w:rsidR="009E1B8B">
              <w:rPr>
                <w:webHidden/>
              </w:rPr>
              <w:fldChar w:fldCharType="separate"/>
            </w:r>
            <w:r w:rsidR="009E1B8B">
              <w:rPr>
                <w:webHidden/>
              </w:rPr>
              <w:t>62</w:t>
            </w:r>
            <w:r w:rsidR="009E1B8B">
              <w:rPr>
                <w:webHidden/>
              </w:rPr>
              <w:fldChar w:fldCharType="end"/>
            </w:r>
          </w:hyperlink>
        </w:p>
        <w:p w14:paraId="1935D594" w14:textId="3EABE298" w:rsidR="009E1B8B" w:rsidRDefault="002B0482">
          <w:pPr>
            <w:pStyle w:val="Sommario3"/>
            <w:rPr>
              <w:rFonts w:eastAsiaTheme="minorEastAsia"/>
              <w:noProof/>
              <w:lang w:eastAsia="it-IT"/>
            </w:rPr>
          </w:pPr>
          <w:hyperlink w:anchor="_Toc121214332" w:history="1">
            <w:r w:rsidR="009E1B8B" w:rsidRPr="00851F5B">
              <w:rPr>
                <w:rStyle w:val="Collegamentoipertestuale"/>
                <w:rFonts w:ascii="Bookman Old Style" w:hAnsi="Bookman Old Style"/>
                <w:b/>
                <w:bCs/>
                <w:noProof/>
              </w:rPr>
              <w:t>76.</w:t>
            </w:r>
            <w:r w:rsidR="009E1B8B">
              <w:rPr>
                <w:rFonts w:eastAsiaTheme="minorEastAsia"/>
                <w:noProof/>
                <w:lang w:eastAsia="it-IT"/>
              </w:rPr>
              <w:tab/>
            </w:r>
            <w:r w:rsidR="009E1B8B" w:rsidRPr="00851F5B">
              <w:rPr>
                <w:rStyle w:val="Collegamentoipertestuale"/>
                <w:rFonts w:ascii="Bookman Old Style" w:hAnsi="Bookman Old Style"/>
                <w:b/>
                <w:bCs/>
                <w:noProof/>
              </w:rPr>
              <w:t>Fondo regionale di protezione civile</w:t>
            </w:r>
            <w:r w:rsidR="009E1B8B">
              <w:rPr>
                <w:noProof/>
                <w:webHidden/>
              </w:rPr>
              <w:tab/>
            </w:r>
            <w:r w:rsidR="009E1B8B">
              <w:rPr>
                <w:noProof/>
                <w:webHidden/>
              </w:rPr>
              <w:fldChar w:fldCharType="begin"/>
            </w:r>
            <w:r w:rsidR="009E1B8B">
              <w:rPr>
                <w:noProof/>
                <w:webHidden/>
              </w:rPr>
              <w:instrText xml:space="preserve"> PAGEREF _Toc121214332 \h </w:instrText>
            </w:r>
            <w:r w:rsidR="009E1B8B">
              <w:rPr>
                <w:noProof/>
                <w:webHidden/>
              </w:rPr>
            </w:r>
            <w:r w:rsidR="009E1B8B">
              <w:rPr>
                <w:noProof/>
                <w:webHidden/>
              </w:rPr>
              <w:fldChar w:fldCharType="separate"/>
            </w:r>
            <w:r w:rsidR="009E1B8B">
              <w:rPr>
                <w:noProof/>
                <w:webHidden/>
              </w:rPr>
              <w:t>62</w:t>
            </w:r>
            <w:r w:rsidR="009E1B8B">
              <w:rPr>
                <w:noProof/>
                <w:webHidden/>
              </w:rPr>
              <w:fldChar w:fldCharType="end"/>
            </w:r>
          </w:hyperlink>
        </w:p>
        <w:p w14:paraId="414F49BC" w14:textId="1496743A" w:rsidR="009E1B8B" w:rsidRDefault="002B0482">
          <w:pPr>
            <w:pStyle w:val="Sommario1"/>
            <w:rPr>
              <w:rFonts w:asciiTheme="minorHAnsi" w:eastAsiaTheme="minorEastAsia" w:hAnsiTheme="minorHAnsi" w:cstheme="minorBidi"/>
              <w:b w:val="0"/>
              <w:bCs w:val="0"/>
              <w:sz w:val="22"/>
              <w:szCs w:val="22"/>
            </w:rPr>
          </w:pPr>
          <w:hyperlink w:anchor="_Toc121214333" w:history="1">
            <w:r w:rsidR="009E1B8B" w:rsidRPr="00851F5B">
              <w:rPr>
                <w:rStyle w:val="Collegamentoipertestuale"/>
              </w:rPr>
              <w:t>SICUREZZA – LEGALITA’ - POLIZIA LOCALE</w:t>
            </w:r>
            <w:r w:rsidR="009E1B8B">
              <w:rPr>
                <w:webHidden/>
              </w:rPr>
              <w:tab/>
            </w:r>
            <w:r w:rsidR="009E1B8B">
              <w:rPr>
                <w:webHidden/>
              </w:rPr>
              <w:fldChar w:fldCharType="begin"/>
            </w:r>
            <w:r w:rsidR="009E1B8B">
              <w:rPr>
                <w:webHidden/>
              </w:rPr>
              <w:instrText xml:space="preserve"> PAGEREF _Toc121214333 \h </w:instrText>
            </w:r>
            <w:r w:rsidR="009E1B8B">
              <w:rPr>
                <w:webHidden/>
              </w:rPr>
            </w:r>
            <w:r w:rsidR="009E1B8B">
              <w:rPr>
                <w:webHidden/>
              </w:rPr>
              <w:fldChar w:fldCharType="separate"/>
            </w:r>
            <w:r w:rsidR="009E1B8B">
              <w:rPr>
                <w:webHidden/>
              </w:rPr>
              <w:t>63</w:t>
            </w:r>
            <w:r w:rsidR="009E1B8B">
              <w:rPr>
                <w:webHidden/>
              </w:rPr>
              <w:fldChar w:fldCharType="end"/>
            </w:r>
          </w:hyperlink>
        </w:p>
        <w:p w14:paraId="19CC8944" w14:textId="5C463191" w:rsidR="009E1B8B" w:rsidRDefault="002B0482">
          <w:pPr>
            <w:pStyle w:val="Sommario3"/>
            <w:rPr>
              <w:rFonts w:eastAsiaTheme="minorEastAsia"/>
              <w:noProof/>
              <w:lang w:eastAsia="it-IT"/>
            </w:rPr>
          </w:pPr>
          <w:hyperlink w:anchor="_Toc121214334" w:history="1">
            <w:r w:rsidR="009E1B8B" w:rsidRPr="00851F5B">
              <w:rPr>
                <w:rStyle w:val="Collegamentoipertestuale"/>
                <w:rFonts w:ascii="Bookman Old Style" w:hAnsi="Bookman Old Style"/>
                <w:b/>
                <w:bCs/>
                <w:noProof/>
              </w:rPr>
              <w:t>77.</w:t>
            </w:r>
            <w:r w:rsidR="009E1B8B">
              <w:rPr>
                <w:rFonts w:eastAsiaTheme="minorEastAsia"/>
                <w:noProof/>
                <w:lang w:eastAsia="it-IT"/>
              </w:rPr>
              <w:tab/>
            </w:r>
            <w:r w:rsidR="009E1B8B" w:rsidRPr="00851F5B">
              <w:rPr>
                <w:rStyle w:val="Collegamentoipertestuale"/>
                <w:rFonts w:ascii="Bookman Old Style" w:hAnsi="Bookman Old Style"/>
                <w:b/>
                <w:bCs/>
                <w:noProof/>
              </w:rPr>
              <w:t>Modifiche all’art. 208 del codice della strada</w:t>
            </w:r>
            <w:r w:rsidR="009E1B8B">
              <w:rPr>
                <w:noProof/>
                <w:webHidden/>
              </w:rPr>
              <w:tab/>
            </w:r>
            <w:r w:rsidR="009E1B8B">
              <w:rPr>
                <w:noProof/>
                <w:webHidden/>
              </w:rPr>
              <w:fldChar w:fldCharType="begin"/>
            </w:r>
            <w:r w:rsidR="009E1B8B">
              <w:rPr>
                <w:noProof/>
                <w:webHidden/>
              </w:rPr>
              <w:instrText xml:space="preserve"> PAGEREF _Toc121214334 \h </w:instrText>
            </w:r>
            <w:r w:rsidR="009E1B8B">
              <w:rPr>
                <w:noProof/>
                <w:webHidden/>
              </w:rPr>
            </w:r>
            <w:r w:rsidR="009E1B8B">
              <w:rPr>
                <w:noProof/>
                <w:webHidden/>
              </w:rPr>
              <w:fldChar w:fldCharType="separate"/>
            </w:r>
            <w:r w:rsidR="009E1B8B">
              <w:rPr>
                <w:noProof/>
                <w:webHidden/>
              </w:rPr>
              <w:t>63</w:t>
            </w:r>
            <w:r w:rsidR="009E1B8B">
              <w:rPr>
                <w:noProof/>
                <w:webHidden/>
              </w:rPr>
              <w:fldChar w:fldCharType="end"/>
            </w:r>
          </w:hyperlink>
        </w:p>
        <w:p w14:paraId="56BAB29E" w14:textId="4B1C8944" w:rsidR="009E1B8B" w:rsidRDefault="002B0482">
          <w:pPr>
            <w:pStyle w:val="Sommario3"/>
            <w:rPr>
              <w:rFonts w:eastAsiaTheme="minorEastAsia"/>
              <w:noProof/>
              <w:lang w:eastAsia="it-IT"/>
            </w:rPr>
          </w:pPr>
          <w:hyperlink w:anchor="_Toc121214335" w:history="1">
            <w:r w:rsidR="009E1B8B" w:rsidRPr="00851F5B">
              <w:rPr>
                <w:rStyle w:val="Collegamentoipertestuale"/>
                <w:rFonts w:ascii="Bookman Old Style" w:hAnsi="Bookman Old Style"/>
                <w:b/>
                <w:bCs/>
                <w:noProof/>
              </w:rPr>
              <w:t>78.</w:t>
            </w:r>
            <w:r w:rsidR="009E1B8B">
              <w:rPr>
                <w:rFonts w:eastAsiaTheme="minorEastAsia"/>
                <w:noProof/>
                <w:lang w:eastAsia="it-IT"/>
              </w:rPr>
              <w:tab/>
            </w:r>
            <w:r w:rsidR="009E1B8B" w:rsidRPr="00851F5B">
              <w:rPr>
                <w:rStyle w:val="Collegamentoipertestuale"/>
                <w:rFonts w:ascii="Bookman Old Style" w:hAnsi="Bookman Old Style"/>
                <w:b/>
                <w:bCs/>
                <w:noProof/>
              </w:rPr>
              <w:t>Modifiche all’articolo 201 del codice della strada</w:t>
            </w:r>
            <w:r w:rsidR="009E1B8B">
              <w:rPr>
                <w:noProof/>
                <w:webHidden/>
              </w:rPr>
              <w:tab/>
            </w:r>
            <w:r w:rsidR="009E1B8B">
              <w:rPr>
                <w:noProof/>
                <w:webHidden/>
              </w:rPr>
              <w:fldChar w:fldCharType="begin"/>
            </w:r>
            <w:r w:rsidR="009E1B8B">
              <w:rPr>
                <w:noProof/>
                <w:webHidden/>
              </w:rPr>
              <w:instrText xml:space="preserve"> PAGEREF _Toc121214335 \h </w:instrText>
            </w:r>
            <w:r w:rsidR="009E1B8B">
              <w:rPr>
                <w:noProof/>
                <w:webHidden/>
              </w:rPr>
            </w:r>
            <w:r w:rsidR="009E1B8B">
              <w:rPr>
                <w:noProof/>
                <w:webHidden/>
              </w:rPr>
              <w:fldChar w:fldCharType="separate"/>
            </w:r>
            <w:r w:rsidR="009E1B8B">
              <w:rPr>
                <w:noProof/>
                <w:webHidden/>
              </w:rPr>
              <w:t>64</w:t>
            </w:r>
            <w:r w:rsidR="009E1B8B">
              <w:rPr>
                <w:noProof/>
                <w:webHidden/>
              </w:rPr>
              <w:fldChar w:fldCharType="end"/>
            </w:r>
          </w:hyperlink>
        </w:p>
        <w:p w14:paraId="53634B16" w14:textId="77CBB9A1" w:rsidR="009E1B8B" w:rsidRDefault="002B0482">
          <w:pPr>
            <w:pStyle w:val="Sommario3"/>
            <w:rPr>
              <w:rFonts w:eastAsiaTheme="minorEastAsia"/>
              <w:noProof/>
              <w:lang w:eastAsia="it-IT"/>
            </w:rPr>
          </w:pPr>
          <w:hyperlink w:anchor="_Toc121214336" w:history="1">
            <w:r w:rsidR="009E1B8B" w:rsidRPr="00851F5B">
              <w:rPr>
                <w:rStyle w:val="Collegamentoipertestuale"/>
                <w:rFonts w:ascii="Bookman Old Style" w:hAnsi="Bookman Old Style"/>
                <w:b/>
                <w:bCs/>
                <w:noProof/>
              </w:rPr>
              <w:t>79.</w:t>
            </w:r>
            <w:r w:rsidR="009E1B8B">
              <w:rPr>
                <w:rFonts w:eastAsiaTheme="minorEastAsia"/>
                <w:noProof/>
                <w:lang w:eastAsia="it-IT"/>
              </w:rPr>
              <w:tab/>
            </w:r>
            <w:r w:rsidR="009E1B8B" w:rsidRPr="00851F5B">
              <w:rPr>
                <w:rStyle w:val="Collegamentoipertestuale"/>
                <w:rFonts w:ascii="Bookman Old Style" w:hAnsi="Bookman Old Style"/>
                <w:b/>
                <w:bCs/>
                <w:noProof/>
              </w:rPr>
              <w:t>Tassa di circolazione veicoli polizia locale</w:t>
            </w:r>
            <w:r w:rsidR="009E1B8B">
              <w:rPr>
                <w:noProof/>
                <w:webHidden/>
              </w:rPr>
              <w:tab/>
            </w:r>
            <w:r w:rsidR="009E1B8B">
              <w:rPr>
                <w:noProof/>
                <w:webHidden/>
              </w:rPr>
              <w:fldChar w:fldCharType="begin"/>
            </w:r>
            <w:r w:rsidR="009E1B8B">
              <w:rPr>
                <w:noProof/>
                <w:webHidden/>
              </w:rPr>
              <w:instrText xml:space="preserve"> PAGEREF _Toc121214336 \h </w:instrText>
            </w:r>
            <w:r w:rsidR="009E1B8B">
              <w:rPr>
                <w:noProof/>
                <w:webHidden/>
              </w:rPr>
            </w:r>
            <w:r w:rsidR="009E1B8B">
              <w:rPr>
                <w:noProof/>
                <w:webHidden/>
              </w:rPr>
              <w:fldChar w:fldCharType="separate"/>
            </w:r>
            <w:r w:rsidR="009E1B8B">
              <w:rPr>
                <w:noProof/>
                <w:webHidden/>
              </w:rPr>
              <w:t>64</w:t>
            </w:r>
            <w:r w:rsidR="009E1B8B">
              <w:rPr>
                <w:noProof/>
                <w:webHidden/>
              </w:rPr>
              <w:fldChar w:fldCharType="end"/>
            </w:r>
          </w:hyperlink>
        </w:p>
        <w:p w14:paraId="23447637" w14:textId="21DB2CEC" w:rsidR="009E1B8B" w:rsidRDefault="002B0482">
          <w:pPr>
            <w:pStyle w:val="Sommario3"/>
            <w:rPr>
              <w:rFonts w:eastAsiaTheme="minorEastAsia"/>
              <w:noProof/>
              <w:lang w:eastAsia="it-IT"/>
            </w:rPr>
          </w:pPr>
          <w:hyperlink w:anchor="_Toc121214337" w:history="1">
            <w:r w:rsidR="009E1B8B" w:rsidRPr="00851F5B">
              <w:rPr>
                <w:rStyle w:val="Collegamentoipertestuale"/>
                <w:rFonts w:ascii="Bookman Old Style" w:hAnsi="Bookman Old Style"/>
                <w:b/>
                <w:bCs/>
                <w:noProof/>
              </w:rPr>
              <w:t>80.</w:t>
            </w:r>
            <w:r w:rsidR="009E1B8B">
              <w:rPr>
                <w:rFonts w:eastAsiaTheme="minorEastAsia"/>
                <w:noProof/>
                <w:lang w:eastAsia="it-IT"/>
              </w:rPr>
              <w:tab/>
            </w:r>
            <w:r w:rsidR="009E1B8B" w:rsidRPr="00851F5B">
              <w:rPr>
                <w:rStyle w:val="Collegamentoipertestuale"/>
                <w:rFonts w:ascii="Bookman Old Style" w:hAnsi="Bookman Old Style"/>
                <w:b/>
                <w:bCs/>
                <w:noProof/>
              </w:rPr>
              <w:t>Modifiche al fondo contro l’incidentalità notturna</w:t>
            </w:r>
            <w:r w:rsidR="009E1B8B">
              <w:rPr>
                <w:noProof/>
                <w:webHidden/>
              </w:rPr>
              <w:tab/>
            </w:r>
            <w:r w:rsidR="009E1B8B">
              <w:rPr>
                <w:noProof/>
                <w:webHidden/>
              </w:rPr>
              <w:fldChar w:fldCharType="begin"/>
            </w:r>
            <w:r w:rsidR="009E1B8B">
              <w:rPr>
                <w:noProof/>
                <w:webHidden/>
              </w:rPr>
              <w:instrText xml:space="preserve"> PAGEREF _Toc121214337 \h </w:instrText>
            </w:r>
            <w:r w:rsidR="009E1B8B">
              <w:rPr>
                <w:noProof/>
                <w:webHidden/>
              </w:rPr>
            </w:r>
            <w:r w:rsidR="009E1B8B">
              <w:rPr>
                <w:noProof/>
                <w:webHidden/>
              </w:rPr>
              <w:fldChar w:fldCharType="separate"/>
            </w:r>
            <w:r w:rsidR="009E1B8B">
              <w:rPr>
                <w:noProof/>
                <w:webHidden/>
              </w:rPr>
              <w:t>64</w:t>
            </w:r>
            <w:r w:rsidR="009E1B8B">
              <w:rPr>
                <w:noProof/>
                <w:webHidden/>
              </w:rPr>
              <w:fldChar w:fldCharType="end"/>
            </w:r>
          </w:hyperlink>
        </w:p>
        <w:p w14:paraId="1477F30D" w14:textId="25A56891" w:rsidR="009E1B8B" w:rsidRDefault="002B0482">
          <w:pPr>
            <w:pStyle w:val="Sommario3"/>
            <w:rPr>
              <w:rFonts w:eastAsiaTheme="minorEastAsia"/>
              <w:noProof/>
              <w:lang w:eastAsia="it-IT"/>
            </w:rPr>
          </w:pPr>
          <w:hyperlink w:anchor="_Toc121214338" w:history="1">
            <w:r w:rsidR="009E1B8B" w:rsidRPr="00851F5B">
              <w:rPr>
                <w:rStyle w:val="Collegamentoipertestuale"/>
                <w:rFonts w:ascii="Bookman Old Style" w:hAnsi="Bookman Old Style"/>
                <w:b/>
                <w:bCs/>
                <w:noProof/>
              </w:rPr>
              <w:t>81.</w:t>
            </w:r>
            <w:r w:rsidR="009E1B8B">
              <w:rPr>
                <w:rFonts w:eastAsiaTheme="minorEastAsia"/>
                <w:noProof/>
                <w:lang w:eastAsia="it-IT"/>
              </w:rPr>
              <w:tab/>
            </w:r>
            <w:r w:rsidR="009E1B8B" w:rsidRPr="00851F5B">
              <w:rPr>
                <w:rStyle w:val="Collegamentoipertestuale"/>
                <w:rFonts w:ascii="Bookman Old Style" w:hAnsi="Bookman Old Style"/>
                <w:b/>
                <w:bCs/>
                <w:noProof/>
              </w:rPr>
              <w:t>Accesso banche dati per esigenze di polizia locale</w:t>
            </w:r>
            <w:r w:rsidR="009E1B8B">
              <w:rPr>
                <w:noProof/>
                <w:webHidden/>
              </w:rPr>
              <w:tab/>
            </w:r>
            <w:r w:rsidR="009E1B8B">
              <w:rPr>
                <w:noProof/>
                <w:webHidden/>
              </w:rPr>
              <w:fldChar w:fldCharType="begin"/>
            </w:r>
            <w:r w:rsidR="009E1B8B">
              <w:rPr>
                <w:noProof/>
                <w:webHidden/>
              </w:rPr>
              <w:instrText xml:space="preserve"> PAGEREF _Toc121214338 \h </w:instrText>
            </w:r>
            <w:r w:rsidR="009E1B8B">
              <w:rPr>
                <w:noProof/>
                <w:webHidden/>
              </w:rPr>
            </w:r>
            <w:r w:rsidR="009E1B8B">
              <w:rPr>
                <w:noProof/>
                <w:webHidden/>
              </w:rPr>
              <w:fldChar w:fldCharType="separate"/>
            </w:r>
            <w:r w:rsidR="009E1B8B">
              <w:rPr>
                <w:noProof/>
                <w:webHidden/>
              </w:rPr>
              <w:t>65</w:t>
            </w:r>
            <w:r w:rsidR="009E1B8B">
              <w:rPr>
                <w:noProof/>
                <w:webHidden/>
              </w:rPr>
              <w:fldChar w:fldCharType="end"/>
            </w:r>
          </w:hyperlink>
        </w:p>
        <w:p w14:paraId="58B3EFBF" w14:textId="791AA5BC" w:rsidR="009E1B8B" w:rsidRDefault="002B0482">
          <w:pPr>
            <w:pStyle w:val="Sommario3"/>
            <w:rPr>
              <w:rFonts w:eastAsiaTheme="minorEastAsia"/>
              <w:noProof/>
              <w:lang w:eastAsia="it-IT"/>
            </w:rPr>
          </w:pPr>
          <w:hyperlink w:anchor="_Toc121214339" w:history="1">
            <w:r w:rsidR="009E1B8B" w:rsidRPr="00851F5B">
              <w:rPr>
                <w:rStyle w:val="Collegamentoipertestuale"/>
                <w:rFonts w:ascii="Bookman Old Style" w:hAnsi="Bookman Old Style"/>
                <w:b/>
                <w:bCs/>
                <w:noProof/>
              </w:rPr>
              <w:t>82.</w:t>
            </w:r>
            <w:r w:rsidR="009E1B8B">
              <w:rPr>
                <w:rFonts w:eastAsiaTheme="minorEastAsia"/>
                <w:noProof/>
                <w:lang w:eastAsia="it-IT"/>
              </w:rPr>
              <w:tab/>
            </w:r>
            <w:r w:rsidR="009E1B8B" w:rsidRPr="00851F5B">
              <w:rPr>
                <w:rStyle w:val="Collegamentoipertestuale"/>
                <w:rFonts w:ascii="Bookman Old Style" w:hAnsi="Bookman Old Style"/>
                <w:b/>
                <w:bCs/>
                <w:noProof/>
              </w:rPr>
              <w:t>Beni confiscati alla criminalità organizzata</w:t>
            </w:r>
            <w:r w:rsidR="009E1B8B">
              <w:rPr>
                <w:noProof/>
                <w:webHidden/>
              </w:rPr>
              <w:tab/>
            </w:r>
            <w:r w:rsidR="009E1B8B">
              <w:rPr>
                <w:noProof/>
                <w:webHidden/>
              </w:rPr>
              <w:fldChar w:fldCharType="begin"/>
            </w:r>
            <w:r w:rsidR="009E1B8B">
              <w:rPr>
                <w:noProof/>
                <w:webHidden/>
              </w:rPr>
              <w:instrText xml:space="preserve"> PAGEREF _Toc121214339 \h </w:instrText>
            </w:r>
            <w:r w:rsidR="009E1B8B">
              <w:rPr>
                <w:noProof/>
                <w:webHidden/>
              </w:rPr>
            </w:r>
            <w:r w:rsidR="009E1B8B">
              <w:rPr>
                <w:noProof/>
                <w:webHidden/>
              </w:rPr>
              <w:fldChar w:fldCharType="separate"/>
            </w:r>
            <w:r w:rsidR="009E1B8B">
              <w:rPr>
                <w:noProof/>
                <w:webHidden/>
              </w:rPr>
              <w:t>66</w:t>
            </w:r>
            <w:r w:rsidR="009E1B8B">
              <w:rPr>
                <w:noProof/>
                <w:webHidden/>
              </w:rPr>
              <w:fldChar w:fldCharType="end"/>
            </w:r>
          </w:hyperlink>
        </w:p>
        <w:p w14:paraId="07FF93C1" w14:textId="0A014ACE" w:rsidR="00D34631" w:rsidRPr="00C17197" w:rsidRDefault="00D34631" w:rsidP="00F06680">
          <w:pPr>
            <w:tabs>
              <w:tab w:val="left" w:pos="851"/>
            </w:tabs>
            <w:spacing w:after="40"/>
            <w:ind w:left="426" w:hanging="426"/>
            <w:rPr>
              <w:rFonts w:ascii="Bookman Old Style" w:hAnsi="Bookman Old Style"/>
            </w:rPr>
          </w:pPr>
          <w:r w:rsidRPr="00C17197">
            <w:rPr>
              <w:rFonts w:ascii="Bookman Old Style" w:hAnsi="Bookman Old Style"/>
              <w:sz w:val="20"/>
              <w:szCs w:val="20"/>
            </w:rPr>
            <w:fldChar w:fldCharType="end"/>
          </w:r>
        </w:p>
      </w:sdtContent>
    </w:sdt>
    <w:p w14:paraId="026EDC27" w14:textId="2B489963" w:rsidR="00695488" w:rsidRDefault="00695488">
      <w:pPr>
        <w:rPr>
          <w:rFonts w:ascii="Bookman Old Style" w:eastAsiaTheme="majorEastAsia" w:hAnsi="Bookman Old Style" w:cstheme="majorBidi"/>
          <w:b/>
          <w:bCs/>
          <w:color w:val="1F3763" w:themeColor="accent1" w:themeShade="7F"/>
          <w:sz w:val="24"/>
          <w:szCs w:val="24"/>
        </w:rPr>
      </w:pPr>
      <w:r>
        <w:rPr>
          <w:rFonts w:ascii="Bookman Old Style" w:hAnsi="Bookman Old Style"/>
          <w:b/>
          <w:bCs/>
        </w:rPr>
        <w:br w:type="page"/>
      </w:r>
    </w:p>
    <w:p w14:paraId="1B313DFD" w14:textId="77777777" w:rsidR="000A0C5F" w:rsidRPr="00EC11E4" w:rsidRDefault="000A0C5F" w:rsidP="00EC11E4">
      <w:pPr>
        <w:pStyle w:val="Titolo3"/>
        <w:rPr>
          <w:rFonts w:ascii="Bookman Old Style" w:hAnsi="Bookman Old Style"/>
          <w:b/>
          <w:bCs/>
        </w:rPr>
      </w:pPr>
    </w:p>
    <w:p w14:paraId="0D01731D" w14:textId="33C7B533" w:rsidR="00EC11E4" w:rsidRPr="00DE2A95" w:rsidRDefault="00EC11E4" w:rsidP="00EC11E4">
      <w:pPr>
        <w:pStyle w:val="Titolo3"/>
        <w:rPr>
          <w:rFonts w:ascii="Bookman Old Style" w:hAnsi="Bookman Old Style"/>
          <w:b/>
          <w:bCs/>
          <w:sz w:val="28"/>
          <w:szCs w:val="28"/>
        </w:rPr>
      </w:pPr>
      <w:bookmarkStart w:id="1" w:name="_Toc121214243"/>
      <w:r w:rsidRPr="00DE2A95">
        <w:rPr>
          <w:rFonts w:ascii="Bookman Old Style" w:hAnsi="Bookman Old Style"/>
          <w:b/>
          <w:bCs/>
          <w:sz w:val="28"/>
          <w:szCs w:val="28"/>
        </w:rPr>
        <w:t>NORME FONDAMENTALI</w:t>
      </w:r>
      <w:bookmarkEnd w:id="1"/>
    </w:p>
    <w:p w14:paraId="355EEC5F" w14:textId="2873B9F6" w:rsidR="00F819B8" w:rsidRPr="00A20489" w:rsidRDefault="00F819B8" w:rsidP="00301BCF">
      <w:pPr>
        <w:pStyle w:val="Titolo2"/>
        <w:spacing w:before="0" w:after="80"/>
        <w:rPr>
          <w:rFonts w:ascii="Bookman Old Style" w:hAnsi="Bookman Old Style"/>
          <w:b/>
          <w:bCs/>
          <w:sz w:val="22"/>
          <w:szCs w:val="22"/>
        </w:rPr>
      </w:pPr>
    </w:p>
    <w:p w14:paraId="6A0C3184" w14:textId="3E247DF9" w:rsidR="00263A5E" w:rsidRPr="00A20489" w:rsidRDefault="00263A5E" w:rsidP="002F3312">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2" w:name="_Toc121214244"/>
      <w:r w:rsidRPr="00A20489">
        <w:rPr>
          <w:rFonts w:ascii="Bookman Old Style" w:hAnsi="Bookman Old Style"/>
          <w:b/>
          <w:bCs/>
          <w:color w:val="2F5496" w:themeColor="accent1" w:themeShade="BF"/>
          <w:sz w:val="22"/>
          <w:szCs w:val="22"/>
        </w:rPr>
        <w:t>Modifiche al Fondo di solidarietà comunale</w:t>
      </w:r>
      <w:r w:rsidR="004636D5" w:rsidRPr="00A20489">
        <w:rPr>
          <w:rFonts w:ascii="Bookman Old Style" w:hAnsi="Bookman Old Style"/>
          <w:b/>
          <w:bCs/>
          <w:color w:val="2F5496" w:themeColor="accent1" w:themeShade="BF"/>
          <w:sz w:val="22"/>
          <w:szCs w:val="22"/>
        </w:rPr>
        <w:t xml:space="preserve"> </w:t>
      </w:r>
      <w:r w:rsidR="00EB787F">
        <w:rPr>
          <w:rFonts w:ascii="Bookman Old Style" w:hAnsi="Bookman Old Style"/>
          <w:b/>
          <w:bCs/>
          <w:color w:val="2F5496" w:themeColor="accent1" w:themeShade="BF"/>
          <w:sz w:val="22"/>
          <w:szCs w:val="22"/>
        </w:rPr>
        <w:t>(art. 141)</w:t>
      </w:r>
      <w:r w:rsidR="000E4229">
        <w:rPr>
          <w:rFonts w:ascii="Bookman Old Style" w:hAnsi="Bookman Old Style"/>
          <w:b/>
          <w:bCs/>
          <w:color w:val="2F5496" w:themeColor="accent1" w:themeShade="BF"/>
          <w:sz w:val="22"/>
          <w:szCs w:val="22"/>
        </w:rPr>
        <w:t>**</w:t>
      </w:r>
      <w:bookmarkEnd w:id="2"/>
    </w:p>
    <w:p w14:paraId="489D45A7" w14:textId="51BB0A33" w:rsidR="000372A2" w:rsidRPr="00C6270A" w:rsidRDefault="00960BB8" w:rsidP="00881B11">
      <w:pPr>
        <w:spacing w:after="80"/>
        <w:rPr>
          <w:rFonts w:ascii="Bookman Old Style" w:hAnsi="Bookman Old Style"/>
          <w:i/>
          <w:iCs/>
        </w:rPr>
      </w:pPr>
      <w:r w:rsidRPr="00C6270A">
        <w:rPr>
          <w:rFonts w:ascii="Bookman Old Style" w:hAnsi="Bookman Old Style"/>
          <w:i/>
          <w:iCs/>
        </w:rPr>
        <w:t xml:space="preserve">All’articolo </w:t>
      </w:r>
      <w:r w:rsidR="000372A2" w:rsidRPr="00C6270A">
        <w:rPr>
          <w:rFonts w:ascii="Bookman Old Style" w:hAnsi="Bookman Old Style"/>
          <w:i/>
          <w:iCs/>
        </w:rPr>
        <w:t>1</w:t>
      </w:r>
      <w:r w:rsidR="00205746" w:rsidRPr="00C6270A">
        <w:rPr>
          <w:rFonts w:ascii="Bookman Old Style" w:hAnsi="Bookman Old Style"/>
          <w:i/>
          <w:iCs/>
        </w:rPr>
        <w:t>41</w:t>
      </w:r>
      <w:r w:rsidRPr="00C6270A">
        <w:rPr>
          <w:rFonts w:ascii="Bookman Old Style" w:hAnsi="Bookman Old Style"/>
          <w:i/>
          <w:iCs/>
        </w:rPr>
        <w:t xml:space="preserve"> sono apportate le seguenti modiche e integrazioni</w:t>
      </w:r>
      <w:r w:rsidR="00C6270A">
        <w:rPr>
          <w:rFonts w:ascii="Bookman Old Style" w:hAnsi="Bookman Old Style"/>
          <w:i/>
          <w:iCs/>
        </w:rPr>
        <w:t>:</w:t>
      </w:r>
    </w:p>
    <w:p w14:paraId="13D9780F" w14:textId="77777777" w:rsidR="009B624D" w:rsidRDefault="009B624D" w:rsidP="00881B11">
      <w:pPr>
        <w:pStyle w:val="Paragrafoelenco"/>
        <w:numPr>
          <w:ilvl w:val="0"/>
          <w:numId w:val="27"/>
        </w:numPr>
        <w:spacing w:after="80"/>
        <w:contextualSpacing w:val="0"/>
        <w:rPr>
          <w:rFonts w:ascii="Bookman Old Style" w:hAnsi="Bookman Old Style"/>
        </w:rPr>
      </w:pPr>
      <w:r>
        <w:rPr>
          <w:rFonts w:ascii="Bookman Old Style" w:hAnsi="Bookman Old Style"/>
        </w:rPr>
        <w:t>la lettera a) è così sostituita:</w:t>
      </w:r>
      <w:r w:rsidR="00012418">
        <w:rPr>
          <w:rFonts w:ascii="Bookman Old Style" w:hAnsi="Bookman Old Style"/>
        </w:rPr>
        <w:t xml:space="preserve"> </w:t>
      </w:r>
    </w:p>
    <w:p w14:paraId="42B11C35" w14:textId="777783F9" w:rsidR="00504BE9" w:rsidRDefault="009B624D" w:rsidP="00881B11">
      <w:pPr>
        <w:pStyle w:val="Paragrafoelenco"/>
        <w:spacing w:after="80"/>
        <w:ind w:left="360"/>
        <w:contextualSpacing w:val="0"/>
        <w:rPr>
          <w:rFonts w:ascii="Bookman Old Style" w:hAnsi="Bookman Old Style"/>
        </w:rPr>
      </w:pPr>
      <w:r>
        <w:rPr>
          <w:rFonts w:ascii="Bookman Old Style" w:hAnsi="Bookman Old Style"/>
        </w:rPr>
        <w:t>“</w:t>
      </w:r>
      <w:r w:rsidR="00496748">
        <w:rPr>
          <w:rFonts w:ascii="Bookman Old Style" w:hAnsi="Bookman Old Style"/>
        </w:rPr>
        <w:t xml:space="preserve">a) </w:t>
      </w:r>
      <w:r w:rsidR="001A0BD5">
        <w:rPr>
          <w:rFonts w:ascii="Bookman Old Style" w:hAnsi="Bookman Old Style"/>
        </w:rPr>
        <w:t xml:space="preserve">al comma 448, le parole da </w:t>
      </w:r>
      <w:r w:rsidR="00D94C4E">
        <w:rPr>
          <w:rFonts w:ascii="Bookman Old Style" w:hAnsi="Bookman Old Style"/>
        </w:rPr>
        <w:t>“</w:t>
      </w:r>
      <w:r w:rsidR="00DA3D99" w:rsidRPr="00DA3D99">
        <w:rPr>
          <w:rFonts w:ascii="Bookman Old Style" w:hAnsi="Bookman Old Style"/>
        </w:rPr>
        <w:t>in</w:t>
      </w:r>
      <w:r w:rsidR="00DA3D99">
        <w:rPr>
          <w:rFonts w:ascii="Bookman Old Style" w:hAnsi="Bookman Old Style"/>
        </w:rPr>
        <w:t xml:space="preserve"> </w:t>
      </w:r>
      <w:r w:rsidR="00DA3D99" w:rsidRPr="00DA3D99">
        <w:rPr>
          <w:rFonts w:ascii="Bookman Old Style" w:hAnsi="Bookman Old Style"/>
        </w:rPr>
        <w:t>euro</w:t>
      </w:r>
      <w:r w:rsidR="00DA3D99">
        <w:rPr>
          <w:rFonts w:ascii="Bookman Old Style" w:hAnsi="Bookman Old Style"/>
        </w:rPr>
        <w:t xml:space="preserve"> </w:t>
      </w:r>
      <w:r w:rsidR="00DA3D99" w:rsidRPr="00DA3D99">
        <w:rPr>
          <w:rFonts w:ascii="Bookman Old Style" w:hAnsi="Bookman Old Style"/>
        </w:rPr>
        <w:t>7.107.513.365</w:t>
      </w:r>
      <w:r w:rsidR="00DA3D99">
        <w:rPr>
          <w:rFonts w:ascii="Bookman Old Style" w:hAnsi="Bookman Old Style"/>
        </w:rPr>
        <w:t xml:space="preserve"> </w:t>
      </w:r>
      <w:r w:rsidR="00DA3D99" w:rsidRPr="00DA3D99">
        <w:rPr>
          <w:rFonts w:ascii="Bookman Old Style" w:hAnsi="Bookman Old Style"/>
        </w:rPr>
        <w:t>per</w:t>
      </w:r>
      <w:r>
        <w:rPr>
          <w:rFonts w:ascii="Bookman Old Style" w:hAnsi="Bookman Old Style"/>
        </w:rPr>
        <w:t xml:space="preserve"> </w:t>
      </w:r>
      <w:r w:rsidR="00DA3D99" w:rsidRPr="00DA3D99">
        <w:rPr>
          <w:rFonts w:ascii="Bookman Old Style" w:hAnsi="Bookman Old Style"/>
        </w:rPr>
        <w:t>l'anno</w:t>
      </w:r>
      <w:r w:rsidR="001A0BD5">
        <w:rPr>
          <w:rFonts w:ascii="Bookman Old Style" w:hAnsi="Bookman Old Style"/>
        </w:rPr>
        <w:t xml:space="preserve"> </w:t>
      </w:r>
      <w:r w:rsidR="00DA3D99" w:rsidRPr="00DA3D99">
        <w:rPr>
          <w:rFonts w:ascii="Bookman Old Style" w:hAnsi="Bookman Old Style"/>
        </w:rPr>
        <w:t>2023</w:t>
      </w:r>
      <w:r w:rsidR="001A0BD5">
        <w:rPr>
          <w:rFonts w:ascii="Bookman Old Style" w:hAnsi="Bookman Old Style"/>
        </w:rPr>
        <w:t>” fino all</w:t>
      </w:r>
      <w:r w:rsidR="00F65907">
        <w:rPr>
          <w:rFonts w:ascii="Bookman Old Style" w:hAnsi="Bookman Old Style"/>
        </w:rPr>
        <w:t>e parole “a decorrere dall’anno 2030</w:t>
      </w:r>
      <w:r w:rsidR="00881B11">
        <w:rPr>
          <w:rFonts w:ascii="Bookman Old Style" w:hAnsi="Bookman Old Style"/>
        </w:rPr>
        <w:t>”</w:t>
      </w:r>
      <w:r w:rsidR="001A0BD5">
        <w:rPr>
          <w:rFonts w:ascii="Bookman Old Style" w:hAnsi="Bookman Old Style"/>
        </w:rPr>
        <w:t xml:space="preserve">, </w:t>
      </w:r>
      <w:r w:rsidR="00171E6A">
        <w:rPr>
          <w:rFonts w:ascii="Bookman Old Style" w:hAnsi="Bookman Old Style"/>
        </w:rPr>
        <w:t>sono così sostituite</w:t>
      </w:r>
      <w:r w:rsidR="00504BE9">
        <w:rPr>
          <w:rFonts w:ascii="Bookman Old Style" w:hAnsi="Bookman Old Style"/>
        </w:rPr>
        <w:t>:</w:t>
      </w:r>
    </w:p>
    <w:p w14:paraId="499B6529" w14:textId="03D14A9E" w:rsidR="00806D5D" w:rsidRDefault="00504BE9" w:rsidP="00881B11">
      <w:pPr>
        <w:pStyle w:val="Paragrafoelenco"/>
        <w:spacing w:after="80"/>
        <w:ind w:left="360"/>
        <w:contextualSpacing w:val="0"/>
        <w:jc w:val="both"/>
        <w:rPr>
          <w:rFonts w:ascii="Bookman Old Style" w:hAnsi="Bookman Old Style"/>
        </w:rPr>
      </w:pPr>
      <w:r>
        <w:rPr>
          <w:rFonts w:ascii="Bookman Old Style" w:hAnsi="Bookman Old Style"/>
        </w:rPr>
        <w:t>“</w:t>
      </w:r>
      <w:r w:rsidRPr="00504BE9">
        <w:rPr>
          <w:rFonts w:ascii="Bookman Old Style" w:hAnsi="Bookman Old Style"/>
        </w:rPr>
        <w:t>in</w:t>
      </w:r>
      <w:r>
        <w:rPr>
          <w:rFonts w:ascii="Bookman Old Style" w:hAnsi="Bookman Old Style"/>
        </w:rPr>
        <w:t xml:space="preserve"> </w:t>
      </w:r>
      <w:r w:rsidRPr="00504BE9">
        <w:rPr>
          <w:rFonts w:ascii="Bookman Old Style" w:hAnsi="Bookman Old Style"/>
        </w:rPr>
        <w:t>euro</w:t>
      </w:r>
      <w:r>
        <w:rPr>
          <w:rFonts w:ascii="Bookman Old Style" w:hAnsi="Bookman Old Style"/>
        </w:rPr>
        <w:t xml:space="preserve"> </w:t>
      </w:r>
      <w:r w:rsidRPr="00504BE9">
        <w:rPr>
          <w:rFonts w:ascii="Bookman Old Style" w:hAnsi="Bookman Old Style"/>
        </w:rPr>
        <w:t>7.</w:t>
      </w:r>
      <w:r>
        <w:rPr>
          <w:rFonts w:ascii="Bookman Old Style" w:hAnsi="Bookman Old Style"/>
        </w:rPr>
        <w:t>3</w:t>
      </w:r>
      <w:r w:rsidRPr="00504BE9">
        <w:rPr>
          <w:rFonts w:ascii="Bookman Old Style" w:hAnsi="Bookman Old Style"/>
        </w:rPr>
        <w:t>07.513.365</w:t>
      </w:r>
      <w:r>
        <w:rPr>
          <w:rFonts w:ascii="Bookman Old Style" w:hAnsi="Bookman Old Style"/>
        </w:rPr>
        <w:t xml:space="preserve"> </w:t>
      </w:r>
      <w:r w:rsidRPr="00504BE9">
        <w:rPr>
          <w:rFonts w:ascii="Bookman Old Style" w:hAnsi="Bookman Old Style"/>
        </w:rPr>
        <w:t>per</w:t>
      </w:r>
      <w:r>
        <w:rPr>
          <w:rFonts w:ascii="Bookman Old Style" w:hAnsi="Bookman Old Style"/>
        </w:rPr>
        <w:t xml:space="preserve"> </w:t>
      </w:r>
      <w:r w:rsidRPr="00504BE9">
        <w:rPr>
          <w:rFonts w:ascii="Bookman Old Style" w:hAnsi="Bookman Old Style"/>
        </w:rPr>
        <w:t>l'anno</w:t>
      </w:r>
      <w:r>
        <w:rPr>
          <w:rFonts w:ascii="Bookman Old Style" w:hAnsi="Bookman Old Style"/>
        </w:rPr>
        <w:t xml:space="preserve"> </w:t>
      </w:r>
      <w:r w:rsidRPr="00504BE9">
        <w:rPr>
          <w:rFonts w:ascii="Bookman Old Style" w:hAnsi="Bookman Old Style"/>
        </w:rPr>
        <w:t>2023</w:t>
      </w:r>
      <w:r>
        <w:rPr>
          <w:rFonts w:ascii="Bookman Old Style" w:hAnsi="Bookman Old Style"/>
        </w:rPr>
        <w:t xml:space="preserve">, </w:t>
      </w:r>
      <w:r w:rsidR="0006416B" w:rsidRPr="0006416B">
        <w:rPr>
          <w:rFonts w:ascii="Bookman Old Style" w:hAnsi="Bookman Old Style"/>
        </w:rPr>
        <w:t>in euro 7.576.513.365 per l'anno 2024, in euro 7.719.513.365 per l'anno 2025, in euro 7.930.513.365 per l'anno 2026, in euro 8.669.513.365 per l'anno 2027, in euro 8.737.513.365 per l'anno 2028, in euro 8.806.513.365 per l'anno 2029, in euro 8.844.513.365 a decorrere dall'anno 2030</w:t>
      </w:r>
      <w:r w:rsidR="00881B11">
        <w:rPr>
          <w:rFonts w:ascii="Bookman Old Style" w:hAnsi="Bookman Old Style"/>
        </w:rPr>
        <w:t>”</w:t>
      </w:r>
      <w:r w:rsidR="009B0CB9">
        <w:rPr>
          <w:rFonts w:ascii="Bookman Old Style" w:hAnsi="Bookman Old Style"/>
        </w:rPr>
        <w:t>;</w:t>
      </w:r>
      <w:r w:rsidR="00806D5D">
        <w:rPr>
          <w:rFonts w:ascii="Bookman Old Style" w:hAnsi="Bookman Old Style"/>
        </w:rPr>
        <w:t xml:space="preserve"> </w:t>
      </w:r>
    </w:p>
    <w:p w14:paraId="31D75D79" w14:textId="0F625F70" w:rsidR="004636D5" w:rsidRPr="00012418" w:rsidRDefault="009B0CB9" w:rsidP="00881B11">
      <w:pPr>
        <w:pStyle w:val="Paragrafoelenco"/>
        <w:numPr>
          <w:ilvl w:val="0"/>
          <w:numId w:val="27"/>
        </w:numPr>
        <w:spacing w:after="80"/>
        <w:contextualSpacing w:val="0"/>
        <w:rPr>
          <w:rFonts w:ascii="Bookman Old Style" w:hAnsi="Bookman Old Style"/>
        </w:rPr>
      </w:pPr>
      <w:r>
        <w:rPr>
          <w:rFonts w:ascii="Bookman Old Style" w:hAnsi="Bookman Old Style"/>
        </w:rPr>
        <w:t xml:space="preserve">alla </w:t>
      </w:r>
      <w:r w:rsidR="00205746" w:rsidRPr="00012418">
        <w:rPr>
          <w:rFonts w:ascii="Bookman Old Style" w:hAnsi="Bookman Old Style"/>
        </w:rPr>
        <w:t xml:space="preserve">lettera b) le parole </w:t>
      </w:r>
      <w:r w:rsidR="00494EA6" w:rsidRPr="00012418">
        <w:rPr>
          <w:rFonts w:ascii="Bookman Old Style" w:hAnsi="Bookman Old Style"/>
        </w:rPr>
        <w:t xml:space="preserve">“380 milioni” </w:t>
      </w:r>
      <w:r>
        <w:rPr>
          <w:rFonts w:ascii="Bookman Old Style" w:hAnsi="Bookman Old Style"/>
        </w:rPr>
        <w:t xml:space="preserve">sono sostituite dalle </w:t>
      </w:r>
      <w:r w:rsidR="00494EA6" w:rsidRPr="00012418">
        <w:rPr>
          <w:rFonts w:ascii="Bookman Old Style" w:hAnsi="Bookman Old Style"/>
        </w:rPr>
        <w:t>parole “430 milioni”</w:t>
      </w:r>
      <w:r w:rsidR="001A5559">
        <w:rPr>
          <w:rFonts w:ascii="Bookman Old Style" w:hAnsi="Bookman Old Style"/>
        </w:rPr>
        <w:t>;</w:t>
      </w:r>
    </w:p>
    <w:p w14:paraId="452001AC" w14:textId="631FDF0D" w:rsidR="00A63700" w:rsidRPr="00E167D7" w:rsidRDefault="00A568FC" w:rsidP="00A47307">
      <w:pPr>
        <w:pStyle w:val="Paragrafoelenco"/>
        <w:numPr>
          <w:ilvl w:val="0"/>
          <w:numId w:val="27"/>
        </w:numPr>
        <w:spacing w:after="80"/>
        <w:rPr>
          <w:rFonts w:ascii="Bookman Old Style" w:hAnsi="Bookman Old Style"/>
        </w:rPr>
      </w:pPr>
      <w:r>
        <w:rPr>
          <w:rFonts w:ascii="Bookman Old Style" w:hAnsi="Bookman Old Style"/>
          <w:i/>
          <w:iCs/>
        </w:rPr>
        <w:t>a</w:t>
      </w:r>
      <w:r w:rsidR="00A47307">
        <w:rPr>
          <w:rFonts w:ascii="Bookman Old Style" w:hAnsi="Bookman Old Style"/>
          <w:i/>
          <w:iCs/>
        </w:rPr>
        <w:t xml:space="preserve">ggiungere in fine </w:t>
      </w:r>
      <w:r>
        <w:rPr>
          <w:rFonts w:ascii="Bookman Old Style" w:hAnsi="Bookman Old Style"/>
          <w:i/>
          <w:iCs/>
        </w:rPr>
        <w:t>le seguenti lettere</w:t>
      </w:r>
      <w:r w:rsidR="00A63700" w:rsidRPr="00A47307">
        <w:rPr>
          <w:rFonts w:ascii="Bookman Old Style" w:hAnsi="Bookman Old Style"/>
          <w:i/>
          <w:iCs/>
        </w:rPr>
        <w:t>:</w:t>
      </w:r>
    </w:p>
    <w:p w14:paraId="02BBA6EF" w14:textId="058060FA" w:rsidR="00517BA0" w:rsidRDefault="00246666" w:rsidP="00517BA0">
      <w:pPr>
        <w:spacing w:after="80"/>
        <w:ind w:left="360"/>
        <w:jc w:val="both"/>
        <w:rPr>
          <w:rFonts w:ascii="Bookman Old Style" w:hAnsi="Bookman Old Style"/>
        </w:rPr>
      </w:pPr>
      <w:r>
        <w:rPr>
          <w:rFonts w:ascii="Bookman Old Style" w:hAnsi="Bookman Old Style"/>
        </w:rPr>
        <w:t>c)</w:t>
      </w:r>
      <w:r w:rsidR="00901A9A">
        <w:rPr>
          <w:rFonts w:ascii="Bookman Old Style" w:hAnsi="Bookman Old Style"/>
        </w:rPr>
        <w:t xml:space="preserve"> </w:t>
      </w:r>
      <w:r w:rsidR="00517BA0">
        <w:rPr>
          <w:rFonts w:ascii="Bookman Old Style" w:eastAsia="Times New Roman" w:hAnsi="Bookman Old Style" w:cs="Courier New"/>
          <w:color w:val="19191A"/>
          <w:lang w:eastAsia="it-IT"/>
        </w:rPr>
        <w:t>a</w:t>
      </w:r>
      <w:r w:rsidR="00263A5E" w:rsidRPr="00EC11E4">
        <w:rPr>
          <w:rFonts w:ascii="Bookman Old Style" w:eastAsia="Times New Roman" w:hAnsi="Bookman Old Style" w:cs="Courier New"/>
          <w:color w:val="19191A"/>
          <w:lang w:eastAsia="it-IT"/>
        </w:rPr>
        <w:t>l comma 449</w:t>
      </w:r>
      <w:r>
        <w:rPr>
          <w:rFonts w:ascii="Bookman Old Style" w:eastAsia="Times New Roman" w:hAnsi="Bookman Old Style" w:cs="Courier New"/>
          <w:color w:val="19191A"/>
          <w:lang w:eastAsia="it-IT"/>
        </w:rPr>
        <w:t xml:space="preserve">, </w:t>
      </w:r>
      <w:r w:rsidR="00263A5E" w:rsidRPr="00EC11E4">
        <w:rPr>
          <w:rFonts w:ascii="Bookman Old Style" w:eastAsia="Times New Roman" w:hAnsi="Bookman Old Style" w:cs="Courier New"/>
          <w:color w:val="19191A"/>
          <w:lang w:eastAsia="it-IT"/>
        </w:rPr>
        <w:t>lettera d-</w:t>
      </w:r>
      <w:r w:rsidR="00263A5E" w:rsidRPr="00EC11E4">
        <w:rPr>
          <w:rFonts w:ascii="Bookman Old Style" w:eastAsia="Times New Roman" w:hAnsi="Bookman Old Style" w:cs="Courier New"/>
          <w:i/>
          <w:iCs/>
          <w:color w:val="19191A"/>
          <w:lang w:eastAsia="it-IT"/>
        </w:rPr>
        <w:t>bis</w:t>
      </w:r>
      <w:r>
        <w:rPr>
          <w:rFonts w:ascii="Bookman Old Style" w:eastAsia="Times New Roman" w:hAnsi="Bookman Old Style" w:cs="Courier New"/>
          <w:i/>
          <w:iCs/>
          <w:color w:val="19191A"/>
          <w:lang w:eastAsia="it-IT"/>
        </w:rPr>
        <w:t>,</w:t>
      </w:r>
      <w:r w:rsidR="00263A5E" w:rsidRPr="00EC11E4">
        <w:rPr>
          <w:rFonts w:ascii="Bookman Old Style" w:eastAsia="Times New Roman" w:hAnsi="Bookman Old Style" w:cs="Courier New"/>
          <w:i/>
          <w:iCs/>
          <w:color w:val="19191A"/>
          <w:lang w:eastAsia="it-IT"/>
        </w:rPr>
        <w:t xml:space="preserve"> </w:t>
      </w:r>
      <w:r w:rsidR="00263A5E" w:rsidRPr="00EC11E4">
        <w:rPr>
          <w:rFonts w:ascii="Bookman Old Style" w:eastAsia="Times New Roman" w:hAnsi="Bookman Old Style" w:cs="Courier New"/>
          <w:color w:val="19191A"/>
          <w:lang w:eastAsia="it-IT"/>
        </w:rPr>
        <w:t>le parole “25 milioni” sono sostituite dalle parole “75 milioni”;</w:t>
      </w:r>
    </w:p>
    <w:p w14:paraId="6DEC6A65" w14:textId="606C9559" w:rsidR="00263A5E" w:rsidRPr="00EC11E4" w:rsidRDefault="00517BA0" w:rsidP="00517BA0">
      <w:pPr>
        <w:spacing w:after="80"/>
        <w:ind w:left="360"/>
        <w:jc w:val="both"/>
        <w:rPr>
          <w:rFonts w:ascii="Bookman Old Style" w:hAnsi="Bookman Old Style"/>
        </w:rPr>
      </w:pPr>
      <w:r>
        <w:rPr>
          <w:rFonts w:ascii="Bookman Old Style" w:eastAsia="Times New Roman" w:hAnsi="Bookman Old Style" w:cs="Courier New"/>
          <w:color w:val="19191A"/>
          <w:lang w:eastAsia="it-IT"/>
        </w:rPr>
        <w:t>d) a</w:t>
      </w:r>
      <w:r w:rsidR="00263A5E" w:rsidRPr="00EC11E4">
        <w:rPr>
          <w:rFonts w:ascii="Bookman Old Style" w:eastAsia="Times New Roman" w:hAnsi="Bookman Old Style" w:cs="Courier New"/>
          <w:color w:val="19191A"/>
          <w:lang w:eastAsia="it-IT"/>
        </w:rPr>
        <w:t>l comma 449</w:t>
      </w:r>
      <w:r w:rsidR="00263A5E" w:rsidRPr="00EC11E4">
        <w:rPr>
          <w:rFonts w:ascii="Bookman Old Style" w:hAnsi="Bookman Old Style"/>
        </w:rPr>
        <w:t>, dopo la lettera d-</w:t>
      </w:r>
      <w:r w:rsidR="00263A5E" w:rsidRPr="00EC11E4">
        <w:rPr>
          <w:rFonts w:ascii="Bookman Old Style" w:hAnsi="Bookman Old Style"/>
          <w:i/>
          <w:iCs/>
        </w:rPr>
        <w:t xml:space="preserve">octies) </w:t>
      </w:r>
      <w:r w:rsidR="00263A5E" w:rsidRPr="00EC11E4">
        <w:rPr>
          <w:rFonts w:ascii="Bookman Old Style" w:hAnsi="Bookman Old Style"/>
        </w:rPr>
        <w:t>è</w:t>
      </w:r>
      <w:r w:rsidR="00263A5E" w:rsidRPr="00EC11E4">
        <w:rPr>
          <w:rFonts w:ascii="Bookman Old Style" w:hAnsi="Bookman Old Style"/>
          <w:i/>
          <w:iCs/>
        </w:rPr>
        <w:t xml:space="preserve"> </w:t>
      </w:r>
      <w:r w:rsidR="00263A5E" w:rsidRPr="00EC11E4">
        <w:rPr>
          <w:rFonts w:ascii="Bookman Old Style" w:hAnsi="Bookman Old Style"/>
        </w:rPr>
        <w:t>inserita la seguente:</w:t>
      </w:r>
    </w:p>
    <w:p w14:paraId="21BAA0C6" w14:textId="77777777" w:rsidR="00263A5E" w:rsidRPr="00EC11E4" w:rsidRDefault="00263A5E" w:rsidP="00881B11">
      <w:pPr>
        <w:pStyle w:val="PreformattatoHTML"/>
        <w:shd w:val="clear" w:color="auto" w:fill="FFFFFF"/>
        <w:spacing w:after="80" w:line="259" w:lineRule="auto"/>
        <w:ind w:left="284"/>
        <w:jc w:val="both"/>
        <w:rPr>
          <w:rFonts w:ascii="Bookman Old Style" w:hAnsi="Bookman Old Style"/>
          <w:sz w:val="22"/>
          <w:szCs w:val="22"/>
        </w:rPr>
      </w:pPr>
      <w:r w:rsidRPr="00EC11E4">
        <w:rPr>
          <w:rFonts w:ascii="Bookman Old Style" w:hAnsi="Bookman Old Style"/>
          <w:sz w:val="22"/>
          <w:szCs w:val="22"/>
        </w:rPr>
        <w:t>“d-</w:t>
      </w:r>
      <w:r w:rsidRPr="00EC11E4">
        <w:rPr>
          <w:rFonts w:ascii="Bookman Old Style" w:hAnsi="Bookman Old Style"/>
          <w:i/>
          <w:iCs/>
          <w:sz w:val="22"/>
          <w:szCs w:val="22"/>
        </w:rPr>
        <w:t>novies</w:t>
      </w:r>
      <w:r w:rsidRPr="00EC11E4">
        <w:rPr>
          <w:rFonts w:ascii="Bookman Old Style" w:hAnsi="Bookman Old Style"/>
          <w:sz w:val="22"/>
          <w:szCs w:val="22"/>
        </w:rPr>
        <w:t xml:space="preserve">) destinato, quanto a 50 milioni di euro, ai comuni delle regioni a statuto ordinario, della Regione siciliana e della regione Sardegna con popolazione inferiore a 5.000 abitanti sulla base dei seguenti criteri: </w:t>
      </w:r>
    </w:p>
    <w:p w14:paraId="0FB69DFB" w14:textId="26A35E02" w:rsidR="00263A5E" w:rsidRPr="00EC11E4" w:rsidRDefault="00263A5E" w:rsidP="002F3312">
      <w:pPr>
        <w:pStyle w:val="PreformattatoHTML"/>
        <w:numPr>
          <w:ilvl w:val="0"/>
          <w:numId w:val="8"/>
        </w:numPr>
        <w:shd w:val="clear" w:color="auto" w:fill="FFFFFF"/>
        <w:spacing w:after="80" w:line="259" w:lineRule="auto"/>
        <w:ind w:left="709"/>
        <w:jc w:val="both"/>
        <w:rPr>
          <w:rFonts w:ascii="Bookman Old Style" w:hAnsi="Bookman Old Style"/>
          <w:sz w:val="22"/>
          <w:szCs w:val="22"/>
        </w:rPr>
      </w:pPr>
      <w:r w:rsidRPr="00EC11E4">
        <w:rPr>
          <w:rFonts w:ascii="Bookman Old Style" w:hAnsi="Bookman Old Style"/>
          <w:sz w:val="22"/>
          <w:szCs w:val="22"/>
        </w:rPr>
        <w:t xml:space="preserve">ai fini della verifica del rispetto del requisito di dimensione demografica, si considera la popolazione residente risultante dai dati ufficiali dell’ISTAT relativi al primo gennaio dell’ultimo anno disponibile alla data del 10 settembre dell’anno precedente quello di riferimento del FSC, reperibili al seguente indirizzo: </w:t>
      </w:r>
      <w:hyperlink r:id="rId9" w:history="1">
        <w:r w:rsidRPr="00EC11E4">
          <w:rPr>
            <w:rFonts w:ascii="Bookman Old Style" w:hAnsi="Bookman Old Style"/>
            <w:sz w:val="22"/>
            <w:szCs w:val="22"/>
          </w:rPr>
          <w:t>http://demo.istat.it/bil/index.php?anno=2019&amp;lingua=ita</w:t>
        </w:r>
      </w:hyperlink>
      <w:r w:rsidRPr="00EC11E4">
        <w:rPr>
          <w:rFonts w:ascii="Bookman Old Style" w:hAnsi="Bookman Old Style"/>
          <w:sz w:val="22"/>
          <w:szCs w:val="22"/>
        </w:rPr>
        <w:t>;</w:t>
      </w:r>
      <w:r w:rsidR="00901A9A">
        <w:rPr>
          <w:rFonts w:ascii="Bookman Old Style" w:hAnsi="Bookman Old Style"/>
          <w:sz w:val="22"/>
          <w:szCs w:val="22"/>
        </w:rPr>
        <w:t xml:space="preserve"> </w:t>
      </w:r>
    </w:p>
    <w:p w14:paraId="6BD755B0" w14:textId="77777777" w:rsidR="00263A5E" w:rsidRPr="00EC11E4" w:rsidRDefault="00263A5E" w:rsidP="002F3312">
      <w:pPr>
        <w:pStyle w:val="PreformattatoHTML"/>
        <w:numPr>
          <w:ilvl w:val="0"/>
          <w:numId w:val="8"/>
        </w:numPr>
        <w:shd w:val="clear" w:color="auto" w:fill="FFFFFF"/>
        <w:spacing w:after="80" w:line="259" w:lineRule="auto"/>
        <w:ind w:left="709"/>
        <w:jc w:val="both"/>
        <w:rPr>
          <w:rFonts w:ascii="Bookman Old Style" w:hAnsi="Bookman Old Style"/>
          <w:color w:val="19191A"/>
          <w:sz w:val="22"/>
          <w:szCs w:val="22"/>
        </w:rPr>
      </w:pPr>
      <w:r w:rsidRPr="00EC11E4">
        <w:rPr>
          <w:rFonts w:ascii="Bookman Old Style" w:hAnsi="Bookman Old Style"/>
          <w:sz w:val="22"/>
          <w:szCs w:val="22"/>
        </w:rPr>
        <w:t>ai fini dell’ammissibilità al riparto della quota, la popolazione residente al primo gennaio del secondo anno precedente quello di ripartizione del fondo deve registrare una riduzione di oltre il 5 per cento rispetto al 2011 e il un reddito medio pro capite comunale deve risultare inferiore di oltre 1.500 euro rispetto alla media nazionale;</w:t>
      </w:r>
    </w:p>
    <w:p w14:paraId="3EFF20EC" w14:textId="77777777" w:rsidR="00263A5E" w:rsidRPr="00EC11E4" w:rsidRDefault="00263A5E" w:rsidP="002F3312">
      <w:pPr>
        <w:pStyle w:val="PreformattatoHTML"/>
        <w:numPr>
          <w:ilvl w:val="0"/>
          <w:numId w:val="8"/>
        </w:numPr>
        <w:shd w:val="clear" w:color="auto" w:fill="FFFFFF"/>
        <w:spacing w:after="80" w:line="259" w:lineRule="auto"/>
        <w:ind w:left="709"/>
        <w:jc w:val="both"/>
        <w:rPr>
          <w:rFonts w:ascii="Bookman Old Style" w:hAnsi="Bookman Old Style"/>
          <w:sz w:val="22"/>
          <w:szCs w:val="22"/>
        </w:rPr>
      </w:pPr>
      <w:r w:rsidRPr="00EC11E4">
        <w:rPr>
          <w:rFonts w:ascii="Bookman Old Style" w:hAnsi="Bookman Old Style"/>
          <w:sz w:val="22"/>
          <w:szCs w:val="22"/>
        </w:rPr>
        <w:t xml:space="preserve">al riparto sono comunque ammessi i comuni che rispettano il requisito di cui alla lettera a) e risultano in condizione di dissesto o di riequilibrio finanziario pluriennale, con deliberazione dello stato di crisi finanziaria risalente fino al quinto anno precedente rispetto a quello di riferimento del fondo di solidarietà comunale oggetto di riparto; </w:t>
      </w:r>
    </w:p>
    <w:p w14:paraId="5C9ECB6F" w14:textId="1292E791" w:rsidR="00263A5E" w:rsidRPr="00EC11E4" w:rsidRDefault="00263A5E" w:rsidP="002F3312">
      <w:pPr>
        <w:pStyle w:val="PreformattatoHTML"/>
        <w:numPr>
          <w:ilvl w:val="0"/>
          <w:numId w:val="8"/>
        </w:numPr>
        <w:shd w:val="clear" w:color="auto" w:fill="FFFFFF"/>
        <w:spacing w:after="80" w:line="259" w:lineRule="auto"/>
        <w:ind w:left="709"/>
        <w:jc w:val="both"/>
        <w:rPr>
          <w:rFonts w:ascii="Bookman Old Style" w:hAnsi="Bookman Old Style"/>
          <w:sz w:val="22"/>
          <w:szCs w:val="22"/>
        </w:rPr>
      </w:pPr>
      <w:r w:rsidRPr="00EC11E4">
        <w:rPr>
          <w:rFonts w:ascii="Bookman Old Style" w:hAnsi="Bookman Old Style"/>
          <w:sz w:val="22"/>
          <w:szCs w:val="22"/>
        </w:rPr>
        <w:t>il riparto avviene in proporzione della popolazione residente di ciascun comune, di cui alla precedente lettera a).”</w:t>
      </w:r>
    </w:p>
    <w:p w14:paraId="28CA6BF6" w14:textId="78730390" w:rsidR="00541AB7" w:rsidRPr="002B152C" w:rsidRDefault="00541AB7" w:rsidP="00541AB7">
      <w:pPr>
        <w:pStyle w:val="PreformattatoHTML"/>
        <w:shd w:val="clear" w:color="auto" w:fill="FFFFFF"/>
        <w:spacing w:after="80" w:line="259" w:lineRule="auto"/>
        <w:jc w:val="both"/>
        <w:rPr>
          <w:rFonts w:ascii="Bookman Old Style" w:hAnsi="Bookman Old Style"/>
          <w:i/>
          <w:iCs/>
          <w:sz w:val="22"/>
          <w:szCs w:val="22"/>
        </w:rPr>
      </w:pPr>
      <w:r w:rsidRPr="002B152C">
        <w:rPr>
          <w:rFonts w:ascii="Bookman Old Style" w:hAnsi="Bookman Old Style"/>
          <w:i/>
          <w:iCs/>
          <w:sz w:val="22"/>
          <w:szCs w:val="22"/>
        </w:rPr>
        <w:t>Conseguentemente</w:t>
      </w:r>
      <w:r w:rsidR="007557A3" w:rsidRPr="002B152C">
        <w:rPr>
          <w:rFonts w:ascii="Bookman Old Style" w:hAnsi="Bookman Old Style"/>
          <w:i/>
          <w:iCs/>
          <w:sz w:val="22"/>
          <w:szCs w:val="22"/>
        </w:rPr>
        <w:t xml:space="preserve">, </w:t>
      </w:r>
      <w:r w:rsidR="00F64965" w:rsidRPr="002B152C">
        <w:rPr>
          <w:rFonts w:ascii="Bookman Old Style" w:hAnsi="Bookman Old Style"/>
          <w:i/>
          <w:iCs/>
          <w:sz w:val="22"/>
          <w:szCs w:val="22"/>
        </w:rPr>
        <w:t>ai maggiori</w:t>
      </w:r>
      <w:r w:rsidR="00830B7E">
        <w:rPr>
          <w:rFonts w:ascii="Bookman Old Style" w:hAnsi="Bookman Old Style"/>
          <w:i/>
          <w:iCs/>
          <w:sz w:val="22"/>
          <w:szCs w:val="22"/>
        </w:rPr>
        <w:t xml:space="preserve"> oneri</w:t>
      </w:r>
      <w:r w:rsidR="00F64965" w:rsidRPr="002B152C">
        <w:rPr>
          <w:rFonts w:ascii="Bookman Old Style" w:hAnsi="Bookman Old Style"/>
          <w:i/>
          <w:iCs/>
          <w:sz w:val="22"/>
          <w:szCs w:val="22"/>
        </w:rPr>
        <w:t xml:space="preserve"> </w:t>
      </w:r>
      <w:r w:rsidR="00C9626D" w:rsidRPr="00830B7E">
        <w:rPr>
          <w:rFonts w:ascii="Bookman Old Style" w:hAnsi="Bookman Old Style"/>
          <w:i/>
          <w:iCs/>
          <w:sz w:val="22"/>
          <w:szCs w:val="22"/>
        </w:rPr>
        <w:t>derivanti</w:t>
      </w:r>
      <w:r w:rsidR="00C9626D" w:rsidRPr="002B152C">
        <w:rPr>
          <w:rFonts w:ascii="Bookman Old Style" w:hAnsi="Bookman Old Style"/>
          <w:i/>
          <w:iCs/>
          <w:sz w:val="22"/>
          <w:szCs w:val="22"/>
        </w:rPr>
        <w:t xml:space="preserve"> dall’attuazione del presente articolo</w:t>
      </w:r>
      <w:r w:rsidR="00F64965" w:rsidRPr="002B152C">
        <w:rPr>
          <w:rFonts w:ascii="Bookman Old Style" w:hAnsi="Bookman Old Style"/>
          <w:i/>
          <w:iCs/>
          <w:sz w:val="22"/>
          <w:szCs w:val="22"/>
        </w:rPr>
        <w:t>, pari a 150 milioni di euro</w:t>
      </w:r>
      <w:r w:rsidR="0075708B">
        <w:rPr>
          <w:rFonts w:ascii="Bookman Old Style" w:hAnsi="Bookman Old Style"/>
          <w:i/>
          <w:iCs/>
          <w:sz w:val="22"/>
          <w:szCs w:val="22"/>
        </w:rPr>
        <w:t xml:space="preserve"> per l’anno 2023 </w:t>
      </w:r>
      <w:r w:rsidR="008C47B1">
        <w:rPr>
          <w:rFonts w:ascii="Bookman Old Style" w:hAnsi="Bookman Old Style"/>
          <w:i/>
          <w:iCs/>
          <w:sz w:val="22"/>
          <w:szCs w:val="22"/>
        </w:rPr>
        <w:t xml:space="preserve">e a 100 milioni di euro a decorrere dal 2024, </w:t>
      </w:r>
      <w:r w:rsidR="00F64965" w:rsidRPr="002B152C">
        <w:rPr>
          <w:rFonts w:ascii="Bookman Old Style" w:hAnsi="Bookman Old Style"/>
          <w:i/>
          <w:iCs/>
          <w:sz w:val="22"/>
          <w:szCs w:val="22"/>
        </w:rPr>
        <w:t>si provvede mediante riduzion</w:t>
      </w:r>
      <w:r w:rsidR="008C47B1">
        <w:rPr>
          <w:rFonts w:ascii="Bookman Old Style" w:hAnsi="Bookman Old Style"/>
          <w:i/>
          <w:iCs/>
          <w:sz w:val="22"/>
          <w:szCs w:val="22"/>
        </w:rPr>
        <w:t>i</w:t>
      </w:r>
      <w:r w:rsidR="00F64965" w:rsidRPr="002B152C">
        <w:rPr>
          <w:rFonts w:ascii="Bookman Old Style" w:hAnsi="Bookman Old Style"/>
          <w:i/>
          <w:iCs/>
          <w:sz w:val="22"/>
          <w:szCs w:val="22"/>
        </w:rPr>
        <w:t xml:space="preserve"> di pari importo del </w:t>
      </w:r>
      <w:r w:rsidR="0083234D" w:rsidRPr="002B152C">
        <w:rPr>
          <w:rFonts w:ascii="Bookman Old Style" w:hAnsi="Bookman Old Style"/>
          <w:i/>
          <w:iCs/>
          <w:sz w:val="22"/>
          <w:szCs w:val="22"/>
        </w:rPr>
        <w:t xml:space="preserve">fondo di cui all’art. </w:t>
      </w:r>
      <w:r w:rsidR="00B1052E" w:rsidRPr="002B152C">
        <w:rPr>
          <w:rFonts w:ascii="Bookman Old Style" w:hAnsi="Bookman Old Style"/>
          <w:i/>
          <w:iCs/>
          <w:sz w:val="22"/>
          <w:szCs w:val="22"/>
        </w:rPr>
        <w:t>152</w:t>
      </w:r>
      <w:r w:rsidR="00515A81" w:rsidRPr="002B152C">
        <w:rPr>
          <w:rFonts w:ascii="Bookman Old Style" w:hAnsi="Bookman Old Style"/>
          <w:i/>
          <w:iCs/>
          <w:sz w:val="22"/>
          <w:szCs w:val="22"/>
        </w:rPr>
        <w:t>,</w:t>
      </w:r>
      <w:r w:rsidR="00B1052E" w:rsidRPr="002B152C">
        <w:rPr>
          <w:rFonts w:ascii="Bookman Old Style" w:hAnsi="Bookman Old Style"/>
          <w:i/>
          <w:iCs/>
          <w:sz w:val="22"/>
          <w:szCs w:val="22"/>
        </w:rPr>
        <w:t xml:space="preserve"> comma 4</w:t>
      </w:r>
      <w:r w:rsidR="00515A81" w:rsidRPr="002B152C">
        <w:rPr>
          <w:rFonts w:ascii="Bookman Old Style" w:hAnsi="Bookman Old Style"/>
          <w:i/>
          <w:iCs/>
          <w:sz w:val="22"/>
          <w:szCs w:val="22"/>
        </w:rPr>
        <w:t>.</w:t>
      </w:r>
    </w:p>
    <w:p w14:paraId="52EF4906" w14:textId="77777777" w:rsidR="00263A5E" w:rsidRPr="00A20489" w:rsidRDefault="00263A5E" w:rsidP="00263A5E">
      <w:pPr>
        <w:spacing w:after="80"/>
        <w:jc w:val="center"/>
        <w:rPr>
          <w:rFonts w:ascii="Bookman Old Style" w:hAnsi="Bookman Old Style"/>
          <w:b/>
          <w:bCs/>
        </w:rPr>
      </w:pPr>
      <w:r w:rsidRPr="00A20489">
        <w:rPr>
          <w:rFonts w:ascii="Bookman Old Style" w:hAnsi="Bookman Old Style"/>
          <w:b/>
          <w:bCs/>
        </w:rPr>
        <w:t>Motivazione</w:t>
      </w:r>
    </w:p>
    <w:p w14:paraId="22D95DD0" w14:textId="77777777" w:rsidR="00127A98" w:rsidRPr="00A20489" w:rsidRDefault="00263A5E" w:rsidP="00263A5E">
      <w:pPr>
        <w:spacing w:after="80"/>
        <w:jc w:val="both"/>
        <w:rPr>
          <w:rFonts w:ascii="Bookman Old Style" w:hAnsi="Bookman Old Style"/>
          <w:i/>
          <w:iCs/>
        </w:rPr>
      </w:pPr>
      <w:r w:rsidRPr="00A20489">
        <w:rPr>
          <w:rFonts w:ascii="Bookman Old Style" w:hAnsi="Bookman Old Style"/>
          <w:i/>
          <w:iCs/>
        </w:rPr>
        <w:t xml:space="preserve">Le norme proposte modificano la disciplina e le risorse stanziate nel Fondo di solidarietà comunale (FSC), con diverse finalità. </w:t>
      </w:r>
    </w:p>
    <w:p w14:paraId="3B2525D8" w14:textId="77777777" w:rsidR="009469E8" w:rsidRDefault="0076684A" w:rsidP="00282DFD">
      <w:pPr>
        <w:spacing w:after="80"/>
        <w:jc w:val="both"/>
        <w:rPr>
          <w:rFonts w:ascii="Bookman Old Style" w:hAnsi="Bookman Old Style"/>
          <w:i/>
          <w:iCs/>
        </w:rPr>
      </w:pPr>
      <w:r>
        <w:rPr>
          <w:rFonts w:ascii="Bookman Old Style" w:hAnsi="Bookman Old Style"/>
          <w:i/>
          <w:iCs/>
        </w:rPr>
        <w:t xml:space="preserve">Con </w:t>
      </w:r>
      <w:r w:rsidR="00C6270A" w:rsidRPr="00641129">
        <w:rPr>
          <w:rFonts w:ascii="Bookman Old Style" w:hAnsi="Bookman Old Style"/>
          <w:i/>
          <w:iCs/>
        </w:rPr>
        <w:t>la</w:t>
      </w:r>
      <w:r w:rsidR="00C6270A" w:rsidRPr="00641129">
        <w:rPr>
          <w:rFonts w:ascii="Bookman Old Style" w:hAnsi="Bookman Old Style"/>
          <w:b/>
          <w:bCs/>
          <w:i/>
          <w:iCs/>
        </w:rPr>
        <w:t xml:space="preserve"> lettera a)</w:t>
      </w:r>
      <w:r w:rsidR="00C6270A">
        <w:rPr>
          <w:rFonts w:ascii="Bookman Old Style" w:hAnsi="Bookman Old Style"/>
          <w:i/>
          <w:iCs/>
        </w:rPr>
        <w:t xml:space="preserve"> </w:t>
      </w:r>
      <w:r>
        <w:rPr>
          <w:rFonts w:ascii="Bookman Old Style" w:hAnsi="Bookman Old Style"/>
          <w:i/>
          <w:iCs/>
        </w:rPr>
        <w:t xml:space="preserve">si rideterminano </w:t>
      </w:r>
      <w:r w:rsidR="00BB25DA">
        <w:rPr>
          <w:rFonts w:ascii="Bookman Old Style" w:hAnsi="Bookman Old Style"/>
          <w:i/>
          <w:iCs/>
        </w:rPr>
        <w:t>i valori complessivi del FSC a seguito delle modifiche proposte</w:t>
      </w:r>
      <w:r w:rsidR="00BC64FC">
        <w:rPr>
          <w:rFonts w:ascii="Bookman Old Style" w:hAnsi="Bookman Old Style"/>
          <w:i/>
          <w:iCs/>
        </w:rPr>
        <w:t xml:space="preserve"> con i punti successivi</w:t>
      </w:r>
    </w:p>
    <w:p w14:paraId="1F2EBA49" w14:textId="394DF1FC" w:rsidR="00282DFD" w:rsidRPr="00EC11E4" w:rsidRDefault="009469E8" w:rsidP="00282DFD">
      <w:pPr>
        <w:spacing w:after="80"/>
        <w:jc w:val="both"/>
        <w:rPr>
          <w:rFonts w:ascii="Bookman Old Style" w:hAnsi="Bookman Old Style"/>
          <w:i/>
          <w:iCs/>
        </w:rPr>
      </w:pPr>
      <w:r>
        <w:rPr>
          <w:rFonts w:ascii="Bookman Old Style" w:hAnsi="Bookman Old Style"/>
          <w:i/>
          <w:iCs/>
        </w:rPr>
        <w:t xml:space="preserve">La </w:t>
      </w:r>
      <w:r w:rsidRPr="009469E8">
        <w:rPr>
          <w:rFonts w:ascii="Bookman Old Style" w:hAnsi="Bookman Old Style"/>
          <w:b/>
          <w:bCs/>
          <w:i/>
          <w:iCs/>
        </w:rPr>
        <w:t>lettera b)</w:t>
      </w:r>
      <w:r>
        <w:rPr>
          <w:rFonts w:ascii="Bookman Old Style" w:hAnsi="Bookman Old Style"/>
          <w:b/>
          <w:bCs/>
          <w:i/>
          <w:iCs/>
        </w:rPr>
        <w:t xml:space="preserve"> </w:t>
      </w:r>
      <w:r w:rsidRPr="009469E8">
        <w:rPr>
          <w:rFonts w:ascii="Bookman Old Style" w:hAnsi="Bookman Old Style"/>
          <w:i/>
          <w:iCs/>
        </w:rPr>
        <w:t>propone una</w:t>
      </w:r>
      <w:r>
        <w:rPr>
          <w:rFonts w:ascii="Bookman Old Style" w:hAnsi="Bookman Old Style"/>
          <w:b/>
          <w:bCs/>
          <w:i/>
          <w:iCs/>
        </w:rPr>
        <w:t xml:space="preserve"> </w:t>
      </w:r>
      <w:r w:rsidR="00A70ABA" w:rsidRPr="00A70ABA">
        <w:rPr>
          <w:rFonts w:ascii="Bookman Old Style" w:hAnsi="Bookman Old Style"/>
          <w:i/>
          <w:iCs/>
        </w:rPr>
        <w:t>ulteriore</w:t>
      </w:r>
      <w:r w:rsidR="00A70ABA">
        <w:rPr>
          <w:rFonts w:ascii="Bookman Old Style" w:hAnsi="Bookman Old Style"/>
          <w:b/>
          <w:bCs/>
          <w:i/>
          <w:iCs/>
        </w:rPr>
        <w:t xml:space="preserve"> </w:t>
      </w:r>
      <w:r w:rsidR="00282DFD" w:rsidRPr="00EC11E4">
        <w:rPr>
          <w:rFonts w:ascii="Bookman Old Style" w:hAnsi="Bookman Old Style"/>
          <w:i/>
          <w:iCs/>
        </w:rPr>
        <w:t xml:space="preserve">rimodulazione delle risorse assegnate con la lettera d-quater del comma 449 della legge di bilancio per il 2017, che interviene a ripristinare gradualmente le risorse a suo tempo tagliate per effetto del dl 66/2014. La previsione normativa vigente stabilisce per gli ultimi due anni di progressione (2023-24) un aumento di 30 milioni di euro per il 2023 e di 230 milioni per il 2024, anno nel quale viene raggiunto il ristoro a regime pari a 560 milioni annui. La proposta rende più uniforme l’incremento complessivo di 260 milioni, assegnandolo in parti uguali a ciascuno dei due anni. </w:t>
      </w:r>
      <w:r w:rsidR="00493487">
        <w:rPr>
          <w:rFonts w:ascii="Bookman Old Style" w:hAnsi="Bookman Old Style"/>
          <w:i/>
          <w:iCs/>
        </w:rPr>
        <w:t xml:space="preserve">Pertanto l’incremento 2023, </w:t>
      </w:r>
      <w:r w:rsidR="00AD0580">
        <w:rPr>
          <w:rFonts w:ascii="Bookman Old Style" w:hAnsi="Bookman Old Style"/>
          <w:i/>
          <w:iCs/>
        </w:rPr>
        <w:t xml:space="preserve">già </w:t>
      </w:r>
      <w:r w:rsidR="00493487">
        <w:rPr>
          <w:rFonts w:ascii="Bookman Old Style" w:hAnsi="Bookman Old Style"/>
          <w:i/>
          <w:iCs/>
        </w:rPr>
        <w:t>portato a +80 mln dall’attuale formulazione del ddl Bilancio</w:t>
      </w:r>
      <w:r w:rsidR="00AD0580">
        <w:rPr>
          <w:rFonts w:ascii="Bookman Old Style" w:hAnsi="Bookman Old Style"/>
          <w:i/>
          <w:iCs/>
        </w:rPr>
        <w:t xml:space="preserve"> viene determinato in +130 mln.</w:t>
      </w:r>
      <w:r w:rsidR="00186A7E">
        <w:rPr>
          <w:rFonts w:ascii="Bookman Old Style" w:hAnsi="Bookman Old Style"/>
          <w:i/>
          <w:iCs/>
        </w:rPr>
        <w:t xml:space="preserve"> </w:t>
      </w:r>
      <w:r w:rsidR="00282DFD" w:rsidRPr="00EC11E4">
        <w:rPr>
          <w:rFonts w:ascii="Bookman Old Style" w:hAnsi="Bookman Old Style"/>
          <w:i/>
          <w:iCs/>
        </w:rPr>
        <w:t>Questa rimodulazione, a parità di risorse riconosciute a regime, permette un più flessibile utilizzo delle risorse per il 2023 con la finalità di mitigare gli effetti negativi della perequazione sulla platea dei Comuni che in base ai criteri perequativi basati sui fabbisogni e sulle capacità fiscali standard dovrebbero cedere risorse significative a favore dei Comuni beneficiari.</w:t>
      </w:r>
    </w:p>
    <w:p w14:paraId="40D15401" w14:textId="71F55329" w:rsidR="00263A5E" w:rsidRPr="00EC11E4" w:rsidRDefault="00263A5E" w:rsidP="00263A5E">
      <w:pPr>
        <w:spacing w:after="80"/>
        <w:jc w:val="both"/>
        <w:rPr>
          <w:rFonts w:ascii="Bookman Old Style" w:hAnsi="Bookman Old Style"/>
          <w:i/>
          <w:iCs/>
        </w:rPr>
      </w:pPr>
      <w:r w:rsidRPr="00EC11E4">
        <w:rPr>
          <w:rFonts w:ascii="Bookman Old Style" w:hAnsi="Bookman Old Style"/>
          <w:i/>
          <w:iCs/>
        </w:rPr>
        <w:t xml:space="preserve">Con </w:t>
      </w:r>
      <w:r w:rsidR="00186A7E">
        <w:rPr>
          <w:rFonts w:ascii="Bookman Old Style" w:hAnsi="Bookman Old Style"/>
          <w:i/>
          <w:iCs/>
        </w:rPr>
        <w:t xml:space="preserve">la </w:t>
      </w:r>
      <w:r w:rsidR="00186A7E" w:rsidRPr="00186A7E">
        <w:rPr>
          <w:rFonts w:ascii="Bookman Old Style" w:hAnsi="Bookman Old Style"/>
          <w:b/>
          <w:bCs/>
          <w:i/>
          <w:iCs/>
        </w:rPr>
        <w:t>lettera c)</w:t>
      </w:r>
      <w:r w:rsidRPr="00EC11E4">
        <w:rPr>
          <w:rFonts w:ascii="Bookman Old Style" w:hAnsi="Bookman Old Style"/>
          <w:i/>
          <w:iCs/>
        </w:rPr>
        <w:t xml:space="preserve">, la quota del FSC destinata a ridurre in misura proporzionale le variazioni negative delle assegnazioni del fondo </w:t>
      </w:r>
      <w:r w:rsidRPr="00EC11E4">
        <w:rPr>
          <w:rFonts w:ascii="Bookman Old Style" w:eastAsia="Times New Roman" w:hAnsi="Bookman Old Style" w:cs="Courier New"/>
          <w:i/>
          <w:iCs/>
          <w:color w:val="19191A"/>
          <w:lang w:eastAsia="it-IT"/>
        </w:rPr>
        <w:t xml:space="preserve">per effetto dell'applicazione dei criteri perequativi viene aumentata da 25 a 75 milioni di euro annui. L’incremento </w:t>
      </w:r>
      <w:r w:rsidR="00186A7E">
        <w:rPr>
          <w:rFonts w:ascii="Bookman Old Style" w:eastAsia="Times New Roman" w:hAnsi="Bookman Old Style" w:cs="Courier New"/>
          <w:i/>
          <w:iCs/>
          <w:color w:val="19191A"/>
          <w:lang w:eastAsia="it-IT"/>
        </w:rPr>
        <w:t xml:space="preserve">concorre ad </w:t>
      </w:r>
      <w:r w:rsidRPr="00EC11E4">
        <w:rPr>
          <w:rFonts w:ascii="Bookman Old Style" w:eastAsia="Times New Roman" w:hAnsi="Bookman Old Style" w:cs="Courier New"/>
          <w:i/>
          <w:iCs/>
          <w:color w:val="19191A"/>
          <w:lang w:eastAsia="it-IT"/>
        </w:rPr>
        <w:t xml:space="preserve">assicurare un percorso più agevole a fronte del progressivo incremento delle percentuali di risorse </w:t>
      </w:r>
      <w:r w:rsidR="002F1155">
        <w:rPr>
          <w:rFonts w:ascii="Bookman Old Style" w:eastAsia="Times New Roman" w:hAnsi="Bookman Old Style" w:cs="Courier New"/>
          <w:i/>
          <w:iCs/>
          <w:color w:val="19191A"/>
          <w:lang w:eastAsia="it-IT"/>
        </w:rPr>
        <w:t xml:space="preserve">perequate </w:t>
      </w:r>
      <w:r w:rsidRPr="00EC11E4">
        <w:rPr>
          <w:rFonts w:ascii="Bookman Old Style" w:eastAsia="Times New Roman" w:hAnsi="Bookman Old Style" w:cs="Courier New"/>
          <w:i/>
          <w:iCs/>
          <w:color w:val="19191A"/>
          <w:lang w:eastAsia="it-IT"/>
        </w:rPr>
        <w:t>e della variazione delle metodologie di riparto del FSC.</w:t>
      </w:r>
    </w:p>
    <w:p w14:paraId="78D628EE" w14:textId="376805FF" w:rsidR="00263A5E" w:rsidRDefault="002F1155" w:rsidP="00263A5E">
      <w:pPr>
        <w:spacing w:after="80"/>
        <w:jc w:val="both"/>
        <w:rPr>
          <w:rFonts w:ascii="Bookman Old Style" w:hAnsi="Bookman Old Style"/>
          <w:i/>
          <w:iCs/>
        </w:rPr>
      </w:pPr>
      <w:r>
        <w:rPr>
          <w:rFonts w:ascii="Bookman Old Style" w:hAnsi="Bookman Old Style"/>
          <w:i/>
          <w:iCs/>
        </w:rPr>
        <w:t xml:space="preserve">La </w:t>
      </w:r>
      <w:r w:rsidRPr="002F1155">
        <w:rPr>
          <w:rFonts w:ascii="Bookman Old Style" w:hAnsi="Bookman Old Style"/>
          <w:b/>
          <w:bCs/>
          <w:i/>
          <w:iCs/>
        </w:rPr>
        <w:t>lettera d)</w:t>
      </w:r>
      <w:r>
        <w:rPr>
          <w:rFonts w:ascii="Bookman Old Style" w:hAnsi="Bookman Old Style"/>
          <w:i/>
          <w:iCs/>
        </w:rPr>
        <w:t xml:space="preserve"> </w:t>
      </w:r>
      <w:r w:rsidR="00263A5E" w:rsidRPr="00EC11E4">
        <w:rPr>
          <w:rFonts w:ascii="Bookman Old Style" w:hAnsi="Bookman Old Style"/>
          <w:i/>
          <w:iCs/>
        </w:rPr>
        <w:t>stabilizza ed integra nel FSC</w:t>
      </w:r>
      <w:r w:rsidR="00263A5E" w:rsidRPr="00EC11E4">
        <w:rPr>
          <w:rFonts w:ascii="Bookman Old Style" w:hAnsi="Bookman Old Style"/>
          <w:b/>
          <w:bCs/>
          <w:i/>
          <w:iCs/>
        </w:rPr>
        <w:t xml:space="preserve"> </w:t>
      </w:r>
      <w:r w:rsidR="00263A5E" w:rsidRPr="00EC11E4">
        <w:rPr>
          <w:rFonts w:ascii="Bookman Old Style" w:hAnsi="Bookman Old Style"/>
          <w:i/>
          <w:iCs/>
        </w:rPr>
        <w:t xml:space="preserve">il contributo di 50 milioni di euro assegnato per il solo 2022 ai piccoli Comuni (popolazione inferiore a 5mila abitanti) in condizione di </w:t>
      </w:r>
      <w:r>
        <w:rPr>
          <w:rFonts w:ascii="Bookman Old Style" w:hAnsi="Bookman Old Style"/>
          <w:i/>
          <w:iCs/>
        </w:rPr>
        <w:t xml:space="preserve">spopolamento e di </w:t>
      </w:r>
      <w:r w:rsidR="00263A5E" w:rsidRPr="00EC11E4">
        <w:rPr>
          <w:rFonts w:ascii="Bookman Old Style" w:hAnsi="Bookman Old Style"/>
          <w:i/>
          <w:iCs/>
        </w:rPr>
        <w:t>disagio socioeconomico dalla legge di bilancio per il 2022. I criteri di assegnazione della nuova quota</w:t>
      </w:r>
      <w:r>
        <w:rPr>
          <w:rFonts w:ascii="Bookman Old Style" w:hAnsi="Bookman Old Style"/>
          <w:i/>
          <w:iCs/>
        </w:rPr>
        <w:t xml:space="preserve">, </w:t>
      </w:r>
      <w:r w:rsidR="005665D3">
        <w:rPr>
          <w:rFonts w:ascii="Bookman Old Style" w:hAnsi="Bookman Old Style"/>
          <w:i/>
          <w:iCs/>
        </w:rPr>
        <w:t xml:space="preserve">che viene </w:t>
      </w:r>
      <w:r>
        <w:rPr>
          <w:rFonts w:ascii="Bookman Old Style" w:hAnsi="Bookman Old Style"/>
          <w:i/>
          <w:iCs/>
        </w:rPr>
        <w:t xml:space="preserve">inserita stabilmente tra i riparti </w:t>
      </w:r>
      <w:r w:rsidR="005665D3">
        <w:rPr>
          <w:rFonts w:ascii="Bookman Old Style" w:hAnsi="Bookman Old Style"/>
          <w:i/>
          <w:iCs/>
        </w:rPr>
        <w:t xml:space="preserve">interni al fondo di solidarietà, </w:t>
      </w:r>
      <w:r w:rsidR="00263A5E" w:rsidRPr="00EC11E4">
        <w:rPr>
          <w:rFonts w:ascii="Bookman Old Style" w:hAnsi="Bookman Old Style"/>
          <w:i/>
          <w:iCs/>
        </w:rPr>
        <w:t>fanno riferimento a un indicatore di spopolamento – la riduzione della popolazione rispetto al 2011 di oltre il 5% – e ad un indicatore di povertà relativa (reddito imponibile pro capite inferiore di almeno 1.500 euro rispetto al dato medio nazionale).</w:t>
      </w:r>
    </w:p>
    <w:p w14:paraId="307B2D3F" w14:textId="0083866F" w:rsidR="009164A2" w:rsidRDefault="009164A2" w:rsidP="00263A5E">
      <w:pPr>
        <w:spacing w:after="80"/>
        <w:jc w:val="both"/>
        <w:rPr>
          <w:rFonts w:ascii="Bookman Old Style" w:hAnsi="Bookman Old Style"/>
          <w:i/>
          <w:iCs/>
        </w:rPr>
      </w:pPr>
    </w:p>
    <w:p w14:paraId="494AB0AA" w14:textId="77777777" w:rsidR="009164A2" w:rsidRPr="00A20489" w:rsidRDefault="009164A2" w:rsidP="00614960">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3" w:name="_Toc121214245"/>
      <w:r w:rsidRPr="00A20489">
        <w:rPr>
          <w:rFonts w:ascii="Bookman Old Style" w:hAnsi="Bookman Old Style"/>
          <w:b/>
          <w:bCs/>
          <w:color w:val="2F5496" w:themeColor="accent1" w:themeShade="BF"/>
          <w:sz w:val="22"/>
          <w:szCs w:val="22"/>
        </w:rPr>
        <w:t>Flessibilità nella gestione finanziaria per fronteggiare l’emergenza</w:t>
      </w:r>
      <w:r>
        <w:rPr>
          <w:rFonts w:ascii="Bookman Old Style" w:hAnsi="Bookman Old Style"/>
          <w:b/>
          <w:bCs/>
          <w:color w:val="2F5496" w:themeColor="accent1" w:themeShade="BF"/>
          <w:sz w:val="22"/>
          <w:szCs w:val="22"/>
        </w:rPr>
        <w:t xml:space="preserve"> **</w:t>
      </w:r>
      <w:bookmarkEnd w:id="3"/>
    </w:p>
    <w:p w14:paraId="28FBAA7D" w14:textId="77777777" w:rsidR="009164A2" w:rsidRPr="00A20489" w:rsidRDefault="009164A2" w:rsidP="009164A2">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143 aggiungere il seguente art. 143 bis</w:t>
      </w:r>
    </w:p>
    <w:p w14:paraId="7141980A" w14:textId="77777777" w:rsidR="009164A2" w:rsidRPr="00A20489" w:rsidRDefault="009164A2" w:rsidP="009164A2">
      <w:pPr>
        <w:spacing w:after="80"/>
        <w:ind w:right="261"/>
        <w:jc w:val="both"/>
        <w:rPr>
          <w:rFonts w:ascii="Bookman Old Style" w:hAnsi="Bookman Old Style" w:cstheme="minorHAnsi"/>
        </w:rPr>
      </w:pPr>
      <w:r w:rsidRPr="00A20489">
        <w:rPr>
          <w:rFonts w:ascii="Bookman Old Style" w:hAnsi="Bookman Old Style" w:cstheme="minorHAnsi"/>
        </w:rPr>
        <w:t>1. All’articolo 40, comma 4, del decreto-legge 17 maggio 2022, n. 50, convertito con modificazioni dalla legge 15 luglio 2022, n. 91, sono apportate le seguenti modifiche:</w:t>
      </w:r>
    </w:p>
    <w:p w14:paraId="7C729C2F" w14:textId="77777777" w:rsidR="009164A2" w:rsidRPr="00A20489" w:rsidRDefault="009164A2" w:rsidP="009164A2">
      <w:pPr>
        <w:pStyle w:val="Paragrafoelenco"/>
        <w:numPr>
          <w:ilvl w:val="0"/>
          <w:numId w:val="2"/>
        </w:numPr>
        <w:spacing w:after="80"/>
        <w:ind w:right="260"/>
        <w:contextualSpacing w:val="0"/>
        <w:jc w:val="both"/>
        <w:rPr>
          <w:rFonts w:ascii="Bookman Old Style" w:hAnsi="Bookman Old Style" w:cstheme="minorHAnsi"/>
        </w:rPr>
      </w:pPr>
      <w:r w:rsidRPr="00A20489">
        <w:rPr>
          <w:rFonts w:ascii="Bookman Old Style" w:hAnsi="Bookman Old Style" w:cstheme="minorHAnsi"/>
        </w:rPr>
        <w:t>dopo le parole “</w:t>
      </w:r>
      <w:r w:rsidRPr="00A20489">
        <w:rPr>
          <w:rFonts w:ascii="Bookman Old Style" w:hAnsi="Bookman Old Style" w:cstheme="minorHAnsi"/>
          <w:i/>
          <w:iCs/>
        </w:rPr>
        <w:t>da COVID-19,</w:t>
      </w:r>
      <w:r w:rsidRPr="00A20489">
        <w:rPr>
          <w:rFonts w:ascii="Bookman Old Style" w:hAnsi="Bookman Old Style" w:cstheme="minorHAnsi"/>
        </w:rPr>
        <w:t>” sono inserite le parole “</w:t>
      </w:r>
      <w:r w:rsidRPr="00A20489">
        <w:rPr>
          <w:rFonts w:ascii="Bookman Old Style" w:hAnsi="Bookman Old Style" w:cstheme="minorHAnsi"/>
          <w:i/>
          <w:iCs/>
        </w:rPr>
        <w:t>nonché degli aumenti degli oneri per energia elettrica e gas,</w:t>
      </w:r>
      <w:r w:rsidRPr="00A20489">
        <w:rPr>
          <w:rFonts w:ascii="Bookman Old Style" w:hAnsi="Bookman Old Style" w:cstheme="minorHAnsi"/>
        </w:rPr>
        <w:t>”;</w:t>
      </w:r>
    </w:p>
    <w:p w14:paraId="53DEAE49" w14:textId="77777777" w:rsidR="009164A2" w:rsidRPr="00A20489" w:rsidRDefault="009164A2" w:rsidP="009164A2">
      <w:pPr>
        <w:pStyle w:val="Paragrafoelenco"/>
        <w:numPr>
          <w:ilvl w:val="0"/>
          <w:numId w:val="2"/>
        </w:numPr>
        <w:spacing w:after="80"/>
        <w:ind w:right="260"/>
        <w:contextualSpacing w:val="0"/>
        <w:jc w:val="both"/>
        <w:rPr>
          <w:rFonts w:ascii="Bookman Old Style" w:hAnsi="Bookman Old Style" w:cstheme="minorHAnsi"/>
        </w:rPr>
      </w:pPr>
      <w:r w:rsidRPr="00A20489">
        <w:rPr>
          <w:rFonts w:ascii="Bookman Old Style" w:hAnsi="Bookman Old Style" w:cstheme="minorHAnsi"/>
        </w:rPr>
        <w:t>le parole “</w:t>
      </w:r>
      <w:r w:rsidRPr="00A20489">
        <w:rPr>
          <w:rFonts w:ascii="Bookman Old Style" w:hAnsi="Bookman Old Style" w:cstheme="minorHAnsi"/>
          <w:i/>
          <w:iCs/>
        </w:rPr>
        <w:t>all’anno 2022</w:t>
      </w:r>
      <w:r w:rsidRPr="00A20489">
        <w:rPr>
          <w:rFonts w:ascii="Bookman Old Style" w:hAnsi="Bookman Old Style" w:cstheme="minorHAnsi"/>
        </w:rPr>
        <w:t>” sono sostitute dalle seguenti parole “</w:t>
      </w:r>
      <w:r w:rsidRPr="00A20489">
        <w:rPr>
          <w:rFonts w:ascii="Bookman Old Style" w:hAnsi="Bookman Old Style" w:cstheme="minorHAnsi"/>
          <w:i/>
          <w:iCs/>
        </w:rPr>
        <w:t>agli anni 2022 e 2023</w:t>
      </w:r>
      <w:r w:rsidRPr="00A20489">
        <w:rPr>
          <w:rFonts w:ascii="Bookman Old Style" w:hAnsi="Bookman Old Style" w:cstheme="minorHAnsi"/>
        </w:rPr>
        <w:t>”;</w:t>
      </w:r>
    </w:p>
    <w:p w14:paraId="20D10010" w14:textId="77777777" w:rsidR="009164A2" w:rsidRPr="00A20489" w:rsidRDefault="009164A2" w:rsidP="009164A2">
      <w:pPr>
        <w:pStyle w:val="Paragrafoelenco"/>
        <w:numPr>
          <w:ilvl w:val="0"/>
          <w:numId w:val="2"/>
        </w:numPr>
        <w:spacing w:after="80"/>
        <w:ind w:right="260"/>
        <w:contextualSpacing w:val="0"/>
        <w:jc w:val="both"/>
        <w:rPr>
          <w:rFonts w:ascii="Bookman Old Style" w:hAnsi="Bookman Old Style" w:cstheme="minorHAnsi"/>
        </w:rPr>
      </w:pPr>
      <w:r w:rsidRPr="00A20489">
        <w:rPr>
          <w:rFonts w:ascii="Bookman Old Style" w:hAnsi="Bookman Old Style" w:cstheme="minorHAnsi"/>
        </w:rPr>
        <w:t>le parole “</w:t>
      </w:r>
      <w:r w:rsidRPr="00A20489">
        <w:rPr>
          <w:rFonts w:ascii="Bookman Old Style" w:hAnsi="Bookman Old Style" w:cstheme="minorHAnsi"/>
          <w:i/>
          <w:iCs/>
        </w:rPr>
        <w:t>accertato con l’approvazione del rendiconto 2021</w:t>
      </w:r>
      <w:r w:rsidRPr="00A20489">
        <w:rPr>
          <w:rFonts w:ascii="Bookman Old Style" w:hAnsi="Bookman Old Style" w:cstheme="minorHAnsi"/>
        </w:rPr>
        <w:t>” sono sostituite dalle seguenti parole “</w:t>
      </w:r>
      <w:r w:rsidRPr="00A20489">
        <w:rPr>
          <w:rFonts w:ascii="Bookman Old Style" w:hAnsi="Bookman Old Style" w:cstheme="minorHAnsi"/>
          <w:i/>
          <w:iCs/>
        </w:rPr>
        <w:t>accertato, rispettivamente, con l’approvazione dei rendiconti 2021 e 2022</w:t>
      </w:r>
      <w:r w:rsidRPr="00A20489">
        <w:rPr>
          <w:rFonts w:ascii="Bookman Old Style" w:hAnsi="Bookman Old Style" w:cstheme="minorHAnsi"/>
        </w:rPr>
        <w:t>”;</w:t>
      </w:r>
    </w:p>
    <w:p w14:paraId="2740FFB6" w14:textId="77777777" w:rsidR="00573DDA" w:rsidRDefault="009164A2" w:rsidP="00573DDA">
      <w:pPr>
        <w:pStyle w:val="Paragrafoelenco"/>
        <w:numPr>
          <w:ilvl w:val="0"/>
          <w:numId w:val="2"/>
        </w:numPr>
        <w:spacing w:after="80"/>
        <w:ind w:right="260"/>
        <w:contextualSpacing w:val="0"/>
        <w:jc w:val="both"/>
        <w:rPr>
          <w:rFonts w:ascii="Bookman Old Style" w:hAnsi="Bookman Old Style" w:cstheme="minorHAnsi"/>
        </w:rPr>
      </w:pPr>
      <w:r w:rsidRPr="00A20489">
        <w:rPr>
          <w:rFonts w:ascii="Bookman Old Style" w:hAnsi="Bookman Old Style" w:cstheme="minorHAnsi"/>
        </w:rPr>
        <w:t xml:space="preserve">è aggiunto in fine il seguente periodo: </w:t>
      </w:r>
    </w:p>
    <w:p w14:paraId="73F6C216" w14:textId="7619DBC3" w:rsidR="0066457C" w:rsidRPr="00573DDA" w:rsidRDefault="009164A2" w:rsidP="00573DDA">
      <w:pPr>
        <w:pStyle w:val="Paragrafoelenco"/>
        <w:spacing w:after="80"/>
        <w:ind w:left="360" w:right="260"/>
        <w:contextualSpacing w:val="0"/>
        <w:jc w:val="both"/>
        <w:rPr>
          <w:rFonts w:ascii="Bookman Old Style" w:hAnsi="Bookman Old Style" w:cstheme="minorHAnsi"/>
        </w:rPr>
      </w:pPr>
      <w:r w:rsidRPr="00573DDA">
        <w:rPr>
          <w:rFonts w:ascii="Bookman Old Style" w:hAnsi="Bookman Old Style" w:cstheme="minorHAnsi"/>
        </w:rPr>
        <w:t>“L'utilizzo della quota libera dell'avanzo di cui al periodo precedente è autorizzato per l’esercizio 2023, anche nel corso</w:t>
      </w:r>
      <w:r w:rsidR="00901A9A">
        <w:rPr>
          <w:rFonts w:ascii="Bookman Old Style" w:hAnsi="Bookman Old Style" w:cstheme="minorHAnsi"/>
        </w:rPr>
        <w:t xml:space="preserve"> </w:t>
      </w:r>
      <w:r w:rsidRPr="00573DDA">
        <w:rPr>
          <w:rFonts w:ascii="Bookman Old Style" w:hAnsi="Bookman Old Style" w:cstheme="minorHAnsi"/>
        </w:rPr>
        <w:t>dell'esercizio provvisorio, per una percentuale non superiore al 50 per cento della medesima quota, se derivante da dati di preconsuntivo, e all'80 per cento, nel caso in cui l'organo esecutivo abbia approvato lo schema del rendiconto di gestione 2022 e l'organo</w:t>
      </w:r>
      <w:r w:rsidR="00901A9A">
        <w:rPr>
          <w:rFonts w:ascii="Bookman Old Style" w:hAnsi="Bookman Old Style" w:cstheme="minorHAnsi"/>
        </w:rPr>
        <w:t xml:space="preserve"> </w:t>
      </w:r>
      <w:r w:rsidRPr="00573DDA">
        <w:rPr>
          <w:rFonts w:ascii="Bookman Old Style" w:hAnsi="Bookman Old Style" w:cstheme="minorHAnsi"/>
        </w:rPr>
        <w:t>di</w:t>
      </w:r>
      <w:r w:rsidR="00901A9A">
        <w:rPr>
          <w:rFonts w:ascii="Bookman Old Style" w:hAnsi="Bookman Old Style" w:cstheme="minorHAnsi"/>
        </w:rPr>
        <w:t xml:space="preserve"> </w:t>
      </w:r>
      <w:r w:rsidRPr="00573DDA">
        <w:rPr>
          <w:rFonts w:ascii="Bookman Old Style" w:hAnsi="Bookman Old Style" w:cstheme="minorHAnsi"/>
        </w:rPr>
        <w:t>revisione</w:t>
      </w:r>
      <w:r w:rsidR="00901A9A">
        <w:rPr>
          <w:rFonts w:ascii="Bookman Old Style" w:hAnsi="Bookman Old Style" w:cstheme="minorHAnsi"/>
        </w:rPr>
        <w:t xml:space="preserve"> </w:t>
      </w:r>
      <w:r w:rsidRPr="00573DDA">
        <w:rPr>
          <w:rFonts w:ascii="Bookman Old Style" w:hAnsi="Bookman Old Style" w:cstheme="minorHAnsi"/>
        </w:rPr>
        <w:t>ne abbia rilasciato la relazione ai sensi dell'articolo</w:t>
      </w:r>
      <w:r w:rsidR="00901A9A">
        <w:rPr>
          <w:rFonts w:ascii="Bookman Old Style" w:hAnsi="Bookman Old Style" w:cstheme="minorHAnsi"/>
        </w:rPr>
        <w:t xml:space="preserve"> </w:t>
      </w:r>
      <w:r w:rsidRPr="00573DDA">
        <w:rPr>
          <w:rFonts w:ascii="Bookman Old Style" w:hAnsi="Bookman Old Style" w:cstheme="minorHAnsi"/>
        </w:rPr>
        <w:t>239,</w:t>
      </w:r>
      <w:r w:rsidR="00901A9A">
        <w:rPr>
          <w:rFonts w:ascii="Bookman Old Style" w:hAnsi="Bookman Old Style" w:cstheme="minorHAnsi"/>
        </w:rPr>
        <w:t xml:space="preserve"> </w:t>
      </w:r>
      <w:r w:rsidRPr="00573DDA">
        <w:rPr>
          <w:rFonts w:ascii="Bookman Old Style" w:hAnsi="Bookman Old Style" w:cstheme="minorHAnsi"/>
        </w:rPr>
        <w:t>comma</w:t>
      </w:r>
      <w:r w:rsidR="00901A9A">
        <w:rPr>
          <w:rFonts w:ascii="Bookman Old Style" w:hAnsi="Bookman Old Style" w:cstheme="minorHAnsi"/>
        </w:rPr>
        <w:t xml:space="preserve"> </w:t>
      </w:r>
      <w:r w:rsidRPr="00573DDA">
        <w:rPr>
          <w:rFonts w:ascii="Bookman Old Style" w:hAnsi="Bookman Old Style" w:cstheme="minorHAnsi"/>
        </w:rPr>
        <w:t>1, lettera d), del testo unico di cui al decreto legislativo</w:t>
      </w:r>
      <w:r w:rsidR="00901A9A">
        <w:rPr>
          <w:rFonts w:ascii="Bookman Old Style" w:hAnsi="Bookman Old Style" w:cstheme="minorHAnsi"/>
        </w:rPr>
        <w:t xml:space="preserve"> </w:t>
      </w:r>
      <w:r w:rsidRPr="00573DDA">
        <w:rPr>
          <w:rFonts w:ascii="Bookman Old Style" w:hAnsi="Bookman Old Style" w:cstheme="minorHAnsi"/>
        </w:rPr>
        <w:t>18</w:t>
      </w:r>
      <w:r w:rsidR="00901A9A">
        <w:rPr>
          <w:rFonts w:ascii="Bookman Old Style" w:hAnsi="Bookman Old Style" w:cstheme="minorHAnsi"/>
        </w:rPr>
        <w:t xml:space="preserve"> </w:t>
      </w:r>
      <w:r w:rsidRPr="00573DDA">
        <w:rPr>
          <w:rFonts w:ascii="Bookman Old Style" w:hAnsi="Bookman Old Style" w:cstheme="minorHAnsi"/>
        </w:rPr>
        <w:t>agosto 2000, n. 267.”</w:t>
      </w:r>
      <w:r w:rsidR="00573DDA" w:rsidRPr="00573DDA">
        <w:rPr>
          <w:rFonts w:ascii="Bookman Old Style" w:hAnsi="Bookman Old Style" w:cstheme="minorHAnsi"/>
        </w:rPr>
        <w:t>.</w:t>
      </w:r>
    </w:p>
    <w:p w14:paraId="3EBC198C" w14:textId="77777777" w:rsidR="009164A2" w:rsidRPr="00A20489" w:rsidRDefault="009164A2" w:rsidP="009164A2">
      <w:pPr>
        <w:pStyle w:val="Paragrafoelenco"/>
        <w:spacing w:after="80"/>
        <w:ind w:left="0" w:right="260"/>
        <w:contextualSpacing w:val="0"/>
        <w:jc w:val="both"/>
        <w:rPr>
          <w:rFonts w:ascii="Bookman Old Style" w:hAnsi="Bookman Old Style" w:cstheme="minorHAnsi"/>
          <w:b/>
          <w:bCs/>
          <w:color w:val="000000" w:themeColor="text1"/>
        </w:rPr>
      </w:pPr>
      <w:r w:rsidRPr="00A20489">
        <w:rPr>
          <w:rFonts w:ascii="Bookman Old Style" w:hAnsi="Bookman Old Style" w:cstheme="minorHAnsi"/>
          <w:color w:val="000000" w:themeColor="text1"/>
        </w:rPr>
        <w:t>2. Ferme restando le disposizioni di cui all’articolo 13, comma 6, del decreto-legge 27 gennaio 2022, n. 4, convertito con modificazioni dalla legge 28 marzo 2022, n. 25, per gli anni 2022 e 2023 gli enti locali possono utilizzare la quota libera dell’avanzo di amministrazione e i proventi delle concessioni edilizie e delle sanzioni previste dal testo unico delle disposizioni legislative e regolamentari in materia edilizia, di cui al decreto del Presidente della Repubblica 6 giugno 2001, n. 380, fatta eccezione per le sanzioni di cui all'articolo 31, comma 4-bis, del medesimo testo unico, anche a copertura dei maggiori oneri derivanti dall'incremento della spesa per energia elettrica e gas, non coperti da specifiche assegnazioni statali, riscontrati con riferimento al confronto tra la spesa degli esercizi 2022 e 2023 e la spesa registrata per utenze e periodi omologhi nel 2019.</w:t>
      </w:r>
    </w:p>
    <w:p w14:paraId="512CDC96" w14:textId="77777777" w:rsidR="009164A2" w:rsidRPr="00A20489" w:rsidRDefault="009164A2" w:rsidP="009164A2">
      <w:pPr>
        <w:spacing w:after="80"/>
        <w:ind w:right="261"/>
        <w:jc w:val="both"/>
        <w:rPr>
          <w:rFonts w:ascii="Bookman Old Style" w:hAnsi="Bookman Old Style" w:cstheme="minorHAnsi"/>
        </w:rPr>
      </w:pPr>
      <w:r w:rsidRPr="00A20489">
        <w:rPr>
          <w:rFonts w:ascii="Bookman Old Style" w:hAnsi="Bookman Old Style" w:cstheme="minorHAnsi"/>
        </w:rPr>
        <w:t>3. All’art. 40-</w:t>
      </w:r>
      <w:r w:rsidRPr="00A20489">
        <w:rPr>
          <w:rFonts w:ascii="Bookman Old Style" w:hAnsi="Bookman Old Style" w:cstheme="minorHAnsi"/>
          <w:i/>
          <w:iCs/>
        </w:rPr>
        <w:t>bis</w:t>
      </w:r>
      <w:r w:rsidRPr="00A20489">
        <w:rPr>
          <w:rFonts w:ascii="Bookman Old Style" w:hAnsi="Bookman Old Style" w:cstheme="minorHAnsi"/>
        </w:rPr>
        <w:t xml:space="preserve"> del decreto-legge 17 maggio 2022, n. 50, convertito con modificazioni dalla legge 15 luglio 2022, n. 91, sono apportate le seguenti modifiche:</w:t>
      </w:r>
    </w:p>
    <w:p w14:paraId="41174055" w14:textId="77777777" w:rsidR="009164A2" w:rsidRPr="00A20489" w:rsidRDefault="009164A2" w:rsidP="009164A2">
      <w:pPr>
        <w:pStyle w:val="Paragrafoelenco"/>
        <w:numPr>
          <w:ilvl w:val="0"/>
          <w:numId w:val="3"/>
        </w:numPr>
        <w:spacing w:after="80"/>
        <w:ind w:right="260"/>
        <w:contextualSpacing w:val="0"/>
        <w:jc w:val="both"/>
        <w:rPr>
          <w:rFonts w:ascii="Bookman Old Style" w:hAnsi="Bookman Old Style" w:cstheme="minorHAnsi"/>
          <w:color w:val="000000" w:themeColor="text1"/>
        </w:rPr>
      </w:pPr>
      <w:r w:rsidRPr="00A20489">
        <w:rPr>
          <w:rFonts w:ascii="Bookman Old Style" w:hAnsi="Bookman Old Style" w:cstheme="minorHAnsi"/>
          <w:color w:val="000000" w:themeColor="text1"/>
        </w:rPr>
        <w:t>al comma 1, le parole “</w:t>
      </w:r>
      <w:r w:rsidRPr="00A20489">
        <w:rPr>
          <w:rFonts w:ascii="Bookman Old Style" w:hAnsi="Bookman Old Style" w:cstheme="minorHAnsi"/>
          <w:i/>
          <w:iCs/>
          <w:color w:val="000000" w:themeColor="text1"/>
        </w:rPr>
        <w:t>per il solo anno 2022</w:t>
      </w:r>
      <w:r w:rsidRPr="00A20489">
        <w:rPr>
          <w:rFonts w:ascii="Bookman Old Style" w:hAnsi="Bookman Old Style" w:cstheme="minorHAnsi"/>
          <w:color w:val="000000" w:themeColor="text1"/>
        </w:rPr>
        <w:t>” sono sostituite dalle seguenti parole “</w:t>
      </w:r>
      <w:r w:rsidRPr="00A20489">
        <w:rPr>
          <w:rFonts w:ascii="Bookman Old Style" w:hAnsi="Bookman Old Style" w:cstheme="minorHAnsi"/>
          <w:i/>
          <w:iCs/>
          <w:color w:val="000000" w:themeColor="text1"/>
        </w:rPr>
        <w:t>per gli anni 2022 e 2023</w:t>
      </w:r>
      <w:r w:rsidRPr="00A20489">
        <w:rPr>
          <w:rFonts w:ascii="Bookman Old Style" w:hAnsi="Bookman Old Style" w:cstheme="minorHAnsi"/>
          <w:color w:val="000000" w:themeColor="text1"/>
        </w:rPr>
        <w:t>”;</w:t>
      </w:r>
    </w:p>
    <w:p w14:paraId="340BCE8D" w14:textId="77777777" w:rsidR="009164A2" w:rsidRDefault="009164A2" w:rsidP="009164A2">
      <w:pPr>
        <w:pStyle w:val="Paragrafoelenco"/>
        <w:numPr>
          <w:ilvl w:val="0"/>
          <w:numId w:val="3"/>
        </w:numPr>
        <w:spacing w:after="80"/>
        <w:ind w:right="260"/>
        <w:contextualSpacing w:val="0"/>
        <w:jc w:val="both"/>
        <w:rPr>
          <w:rFonts w:ascii="Bookman Old Style" w:hAnsi="Bookman Old Style" w:cstheme="minorHAnsi"/>
          <w:color w:val="000000" w:themeColor="text1"/>
        </w:rPr>
      </w:pPr>
      <w:r w:rsidRPr="00A20489">
        <w:rPr>
          <w:rFonts w:ascii="Bookman Old Style" w:hAnsi="Bookman Old Style" w:cstheme="minorHAnsi"/>
          <w:color w:val="000000" w:themeColor="text1"/>
        </w:rPr>
        <w:t>al comma 2, le parole “</w:t>
      </w:r>
      <w:r w:rsidRPr="00A20489">
        <w:rPr>
          <w:rFonts w:ascii="Bookman Old Style" w:hAnsi="Bookman Old Style" w:cstheme="minorHAnsi"/>
          <w:i/>
          <w:iCs/>
          <w:color w:val="000000" w:themeColor="text1"/>
        </w:rPr>
        <w:t>dell’esercizio 2022</w:t>
      </w:r>
      <w:r w:rsidRPr="00A20489">
        <w:rPr>
          <w:rFonts w:ascii="Bookman Old Style" w:hAnsi="Bookman Old Style" w:cstheme="minorHAnsi"/>
          <w:color w:val="000000" w:themeColor="text1"/>
        </w:rPr>
        <w:t>” sono sostituite con le seguenti parole “</w:t>
      </w:r>
      <w:r w:rsidRPr="00A20489">
        <w:rPr>
          <w:rFonts w:ascii="Bookman Old Style" w:hAnsi="Bookman Old Style" w:cstheme="minorHAnsi"/>
          <w:i/>
          <w:iCs/>
          <w:color w:val="000000" w:themeColor="text1"/>
        </w:rPr>
        <w:t>degli esercizi 2022 e 2023</w:t>
      </w:r>
      <w:r w:rsidRPr="00A20489">
        <w:rPr>
          <w:rFonts w:ascii="Bookman Old Style" w:hAnsi="Bookman Old Style" w:cstheme="minorHAnsi"/>
          <w:color w:val="000000" w:themeColor="text1"/>
        </w:rPr>
        <w:t>”.</w:t>
      </w:r>
    </w:p>
    <w:p w14:paraId="4595CBA1" w14:textId="7AB57BDE" w:rsidR="006B0F5E" w:rsidRDefault="009E6616" w:rsidP="006A1359">
      <w:pPr>
        <w:pStyle w:val="Paragrafoelenco"/>
        <w:spacing w:after="80"/>
        <w:ind w:left="0" w:right="260"/>
        <w:contextualSpacing w:val="0"/>
        <w:jc w:val="both"/>
        <w:rPr>
          <w:rFonts w:ascii="Bookman Old Style" w:hAnsi="Bookman Old Style" w:cstheme="minorHAnsi"/>
          <w:color w:val="000000" w:themeColor="text1"/>
        </w:rPr>
      </w:pPr>
      <w:r>
        <w:rPr>
          <w:rFonts w:ascii="Bookman Old Style" w:hAnsi="Bookman Old Style" w:cstheme="minorHAnsi"/>
          <w:color w:val="000000" w:themeColor="text1"/>
        </w:rPr>
        <w:t xml:space="preserve">4. </w:t>
      </w:r>
      <w:r w:rsidR="006B0F5E" w:rsidRPr="006A1359">
        <w:rPr>
          <w:rFonts w:ascii="Bookman Old Style" w:hAnsi="Bookman Old Style" w:cstheme="minorHAnsi"/>
          <w:color w:val="000000" w:themeColor="text1"/>
        </w:rPr>
        <w:t xml:space="preserve">In considerazione degli effetti economici della crisi ucraina, gli enti locali possono approvare il bilancio di previsione 2023-2025, con l'utilizzo </w:t>
      </w:r>
      <w:r w:rsidR="006A1359">
        <w:rPr>
          <w:rFonts w:ascii="Bookman Old Style" w:hAnsi="Bookman Old Style" w:cstheme="minorHAnsi"/>
          <w:color w:val="000000" w:themeColor="text1"/>
        </w:rPr>
        <w:t xml:space="preserve">dei proventi delle </w:t>
      </w:r>
      <w:r w:rsidR="006B0F5E" w:rsidRPr="006A1359">
        <w:rPr>
          <w:rFonts w:ascii="Bookman Old Style" w:hAnsi="Bookman Old Style" w:cstheme="minorHAnsi"/>
          <w:color w:val="000000" w:themeColor="text1"/>
        </w:rPr>
        <w:t>entrate patrimoniali come previsto al comma 866, articolo 1 della Legge 27 dicembre 2017, n. 205, sospendendo l’applicazione delle condizioni riportate alle lettere a), b) e c).</w:t>
      </w:r>
    </w:p>
    <w:p w14:paraId="63D04621" w14:textId="3630F26C" w:rsidR="006F72C7" w:rsidRDefault="007E50EE" w:rsidP="008C7578">
      <w:pPr>
        <w:pStyle w:val="Paragrafoelenco"/>
        <w:spacing w:after="80"/>
        <w:ind w:left="0" w:right="260"/>
        <w:contextualSpacing w:val="0"/>
        <w:jc w:val="both"/>
        <w:rPr>
          <w:rFonts w:ascii="Bookman Old Style" w:hAnsi="Bookman Old Style" w:cstheme="minorHAnsi"/>
          <w:color w:val="000000" w:themeColor="text1"/>
        </w:rPr>
      </w:pPr>
      <w:r w:rsidRPr="008C7578">
        <w:rPr>
          <w:rFonts w:ascii="Bookman Old Style" w:hAnsi="Bookman Old Style" w:cstheme="minorHAnsi"/>
          <w:color w:val="000000" w:themeColor="text1"/>
        </w:rPr>
        <w:t>5.</w:t>
      </w:r>
      <w:r w:rsidR="007D4BE8">
        <w:rPr>
          <w:rFonts w:ascii="Bookman Old Style" w:hAnsi="Bookman Old Style" w:cstheme="minorHAnsi"/>
          <w:color w:val="000000" w:themeColor="text1"/>
        </w:rPr>
        <w:t xml:space="preserve"> </w:t>
      </w:r>
      <w:r w:rsidR="006F72C7" w:rsidRPr="006F72C7">
        <w:rPr>
          <w:rFonts w:ascii="Bookman Old Style" w:hAnsi="Bookman Old Style" w:cstheme="minorHAnsi"/>
          <w:color w:val="000000" w:themeColor="text1"/>
        </w:rPr>
        <w:t>Per il triennio 2023-2025, gli enti locali in condizioni di disavanzo possono applicare le quote di avanzo vincolato per investimenti derivanti da trasferimenti di risorse statali</w:t>
      </w:r>
      <w:r w:rsidRPr="008C7578">
        <w:rPr>
          <w:rFonts w:ascii="Bookman Old Style" w:hAnsi="Bookman Old Style" w:cstheme="minorHAnsi"/>
          <w:color w:val="000000" w:themeColor="text1"/>
        </w:rPr>
        <w:t xml:space="preserve"> o regionali</w:t>
      </w:r>
      <w:r w:rsidR="006F72C7" w:rsidRPr="006F72C7">
        <w:rPr>
          <w:rFonts w:ascii="Bookman Old Style" w:hAnsi="Bookman Old Style" w:cstheme="minorHAnsi"/>
          <w:color w:val="000000" w:themeColor="text1"/>
        </w:rPr>
        <w:t>, regolarmente incassate, purché le opere finanziate siano coerenti con i documenti di programmazione e di sviluppo del territorio, anche in deroga ai limiti di cui all’articolo 1, commi 897 e 898, della legge 30 dicembre 2017, n. 145.</w:t>
      </w:r>
    </w:p>
    <w:p w14:paraId="6A35C59D" w14:textId="0BD44BAF" w:rsidR="006F72C7" w:rsidRPr="006A1359" w:rsidRDefault="00C6665A" w:rsidP="006A1359">
      <w:pPr>
        <w:pStyle w:val="Paragrafoelenco"/>
        <w:spacing w:after="80"/>
        <w:ind w:left="0" w:right="260"/>
        <w:contextualSpacing w:val="0"/>
        <w:jc w:val="both"/>
        <w:rPr>
          <w:rFonts w:ascii="Bookman Old Style" w:hAnsi="Bookman Old Style" w:cstheme="minorHAnsi"/>
          <w:color w:val="000000" w:themeColor="text1"/>
        </w:rPr>
      </w:pPr>
      <w:r w:rsidRPr="00C6665A">
        <w:rPr>
          <w:rFonts w:ascii="Bookman Old Style" w:hAnsi="Bookman Old Style" w:cstheme="minorHAnsi"/>
          <w:color w:val="000000" w:themeColor="text1"/>
        </w:rPr>
        <w:t xml:space="preserve">6. </w:t>
      </w:r>
      <w:r w:rsidR="0033512E">
        <w:rPr>
          <w:rFonts w:ascii="Bookman Old Style" w:hAnsi="Bookman Old Style" w:cstheme="minorHAnsi"/>
          <w:color w:val="000000" w:themeColor="text1"/>
        </w:rPr>
        <w:t>Al fine di favorire il raggiungimento degli obiettivi di normalizzazione dei tempi di pagamento dei debiti commerciali degli enti locali, a</w:t>
      </w:r>
      <w:r w:rsidRPr="00C6665A">
        <w:rPr>
          <w:rFonts w:ascii="Bookman Old Style" w:hAnsi="Bookman Old Style" w:cstheme="minorHAnsi"/>
          <w:color w:val="000000" w:themeColor="text1"/>
        </w:rPr>
        <w:t>ll’articolo 1, comma 555, della L. 27 dicembre 2019, n. 160 è apportata la seguente modifica: la parola “2022” è sostituita dalla seguente parola: “2025”</w:t>
      </w:r>
      <w:r w:rsidRPr="00C6665A">
        <w:rPr>
          <w:rFonts w:ascii="Times New Roman" w:hAnsi="Times New Roman" w:cs="Times New Roman"/>
          <w:color w:val="000000" w:themeColor="text1"/>
        </w:rPr>
        <w:t> </w:t>
      </w:r>
      <w:r w:rsidRPr="00C6665A">
        <w:rPr>
          <w:rFonts w:ascii="Bookman Old Style" w:hAnsi="Bookman Old Style" w:cstheme="minorHAnsi"/>
          <w:color w:val="000000" w:themeColor="text1"/>
        </w:rPr>
        <w:t xml:space="preserve"> </w:t>
      </w:r>
    </w:p>
    <w:p w14:paraId="43FFD09D" w14:textId="77777777" w:rsidR="009164A2" w:rsidRPr="00A20489" w:rsidRDefault="009164A2" w:rsidP="009164A2">
      <w:pPr>
        <w:spacing w:after="80"/>
        <w:ind w:right="261" w:hanging="11"/>
        <w:jc w:val="center"/>
        <w:rPr>
          <w:rFonts w:ascii="Bookman Old Style" w:hAnsi="Bookman Old Style" w:cstheme="minorHAnsi"/>
          <w:b/>
          <w:bCs/>
        </w:rPr>
      </w:pPr>
      <w:r w:rsidRPr="00A20489">
        <w:rPr>
          <w:rFonts w:ascii="Bookman Old Style" w:hAnsi="Bookman Old Style" w:cstheme="minorHAnsi"/>
          <w:b/>
          <w:bCs/>
        </w:rPr>
        <w:t>Motivazione</w:t>
      </w:r>
    </w:p>
    <w:p w14:paraId="47F2E543" w14:textId="77777777" w:rsidR="009164A2" w:rsidRPr="00A20489" w:rsidRDefault="009164A2" w:rsidP="009164A2">
      <w:pPr>
        <w:spacing w:after="80"/>
        <w:ind w:right="261" w:hanging="11"/>
        <w:jc w:val="both"/>
        <w:rPr>
          <w:rFonts w:ascii="Bookman Old Style" w:hAnsi="Bookman Old Style" w:cstheme="minorHAnsi"/>
          <w:i/>
          <w:iCs/>
        </w:rPr>
      </w:pPr>
      <w:r w:rsidRPr="00A20489">
        <w:rPr>
          <w:rFonts w:ascii="Bookman Old Style" w:hAnsi="Bookman Old Style" w:cstheme="minorHAnsi"/>
          <w:i/>
          <w:iCs/>
        </w:rPr>
        <w:t>Le norme proposte estendono al 2023 alcuni dispositivi di flessibilità nella gestione finanziaria in grado di mobilitare pi agevolmente le risorse proprie degli enti locali a sostegno delle maggiori spese per l’emergenza energetica in corso.</w:t>
      </w:r>
    </w:p>
    <w:p w14:paraId="4C520718" w14:textId="77777777" w:rsidR="009164A2" w:rsidRPr="00A20489" w:rsidRDefault="009164A2" w:rsidP="009164A2">
      <w:pPr>
        <w:spacing w:after="80"/>
        <w:ind w:right="261" w:hanging="11"/>
        <w:jc w:val="both"/>
        <w:rPr>
          <w:rFonts w:ascii="Bookman Old Style" w:hAnsi="Bookman Old Style" w:cstheme="minorHAnsi"/>
          <w:i/>
          <w:iCs/>
        </w:rPr>
      </w:pPr>
      <w:r w:rsidRPr="00A20489">
        <w:rPr>
          <w:rFonts w:ascii="Bookman Old Style" w:hAnsi="Bookman Old Style" w:cstheme="minorHAnsi"/>
          <w:i/>
          <w:iCs/>
        </w:rPr>
        <w:t xml:space="preserve">Il </w:t>
      </w:r>
      <w:r w:rsidRPr="00A20489">
        <w:rPr>
          <w:rFonts w:ascii="Bookman Old Style" w:hAnsi="Bookman Old Style" w:cstheme="minorHAnsi"/>
          <w:b/>
          <w:bCs/>
          <w:i/>
          <w:iCs/>
        </w:rPr>
        <w:t>comma 1</w:t>
      </w:r>
      <w:r w:rsidRPr="00A20489">
        <w:rPr>
          <w:rFonts w:ascii="Bookman Old Style" w:hAnsi="Bookman Old Style" w:cstheme="minorHAnsi"/>
          <w:i/>
          <w:iCs/>
        </w:rPr>
        <w:t xml:space="preserve"> ripropone anche per il 2023 una deroga alle disposizioni dell’articolo 187, comma 2 del TUEL inerenti all’utilizzo dell’avanzo disponibile, altrimenti consentito in via ordinaria solo con variazione di bilancio successiva all’approvazione del medesimo. La proroga si rende altresì necessaria, così come già previsto per il 2022, al fine di evitare significativi tagli di spesa in fase di approvazione del bilancio di previsione 2023-2025, già indebolito dai persistenti effetti sia della pandemia sia della crisi internazionale sopravvenuta. A tal proposito si sottolinea che la possibilità di programmare ex ante l’utilizzo degli avanzi disponibili consente agli enti locali di fronteggiare con maggiore efficacia gli aumenti di spesa connessi al caro bollette.</w:t>
      </w:r>
    </w:p>
    <w:p w14:paraId="01E6EFB3" w14:textId="77777777" w:rsidR="009164A2" w:rsidRPr="00A20489" w:rsidRDefault="009164A2" w:rsidP="009164A2">
      <w:pPr>
        <w:spacing w:after="80"/>
        <w:ind w:right="261" w:hanging="11"/>
        <w:jc w:val="both"/>
        <w:rPr>
          <w:rFonts w:ascii="Bookman Old Style" w:hAnsi="Bookman Old Style" w:cstheme="minorHAnsi"/>
          <w:i/>
          <w:iCs/>
        </w:rPr>
      </w:pPr>
      <w:r w:rsidRPr="00A20489">
        <w:rPr>
          <w:rFonts w:ascii="Bookman Old Style" w:hAnsi="Bookman Old Style" w:cstheme="minorHAnsi"/>
          <w:i/>
          <w:iCs/>
        </w:rPr>
        <w:t xml:space="preserve">La norma proposta permette di agire nel senso sopra indicato anche nella fase precedente alla formale approvazione del rendiconto sulla base di percentuali prudenziali di applicazione degli avanzi disponibili presunti o in via di proposizione all’organo consiliare. </w:t>
      </w:r>
    </w:p>
    <w:p w14:paraId="1386608D" w14:textId="77777777" w:rsidR="009164A2" w:rsidRPr="00A20489" w:rsidRDefault="009164A2" w:rsidP="009164A2">
      <w:pPr>
        <w:spacing w:after="80"/>
        <w:ind w:right="261" w:hanging="11"/>
        <w:jc w:val="both"/>
        <w:rPr>
          <w:rFonts w:ascii="Bookman Old Style" w:hAnsi="Bookman Old Style" w:cstheme="minorHAnsi"/>
          <w:i/>
          <w:iCs/>
          <w:color w:val="000000" w:themeColor="text1"/>
        </w:rPr>
      </w:pPr>
      <w:r w:rsidRPr="00A20489">
        <w:rPr>
          <w:rFonts w:ascii="Bookman Old Style" w:hAnsi="Bookman Old Style" w:cstheme="minorHAnsi"/>
          <w:i/>
          <w:iCs/>
          <w:color w:val="000000" w:themeColor="text1"/>
        </w:rPr>
        <w:t xml:space="preserve">Il </w:t>
      </w:r>
      <w:r w:rsidRPr="00A20489">
        <w:rPr>
          <w:rFonts w:ascii="Bookman Old Style" w:hAnsi="Bookman Old Style" w:cstheme="minorHAnsi"/>
          <w:b/>
          <w:bCs/>
          <w:i/>
          <w:iCs/>
          <w:color w:val="000000" w:themeColor="text1"/>
        </w:rPr>
        <w:t xml:space="preserve">comma 2 </w:t>
      </w:r>
      <w:r w:rsidRPr="00A20489">
        <w:rPr>
          <w:rFonts w:ascii="Bookman Old Style" w:hAnsi="Bookman Old Style" w:cstheme="minorHAnsi"/>
          <w:i/>
          <w:iCs/>
          <w:color w:val="000000" w:themeColor="text1"/>
        </w:rPr>
        <w:t xml:space="preserve">mira a consentire agli enti locali, per il biennio 2022 e 2023, la possibilità di utilizzare sia la quota libera dell’avanzo di amministrazione, sia i proventi delle concessioni edilizie e delle relative sanzioni per fronteggiare i maggiori oneri sostenuti per l’aumento dei prezzi nel settore energetico. </w:t>
      </w:r>
      <w:r w:rsidRPr="00A20489">
        <w:rPr>
          <w:rFonts w:ascii="Bookman Old Style" w:hAnsi="Bookman Old Style" w:cstheme="minorHAnsi"/>
          <w:i/>
          <w:iCs/>
        </w:rPr>
        <w:t>È infatti prevedibile che i contributi straordinari concessi agli enti locali per garantire la continuità dei servizi erogati non copriranno integralmente gli aumenti di spesa derivanti dall’emergenza “caro bollette”, generando ulteriori tensioni nel conseguimento degli equilibri di parte corrente, da qui la finalità perseguita con la presente proposta normativa che consente di mobilitare al medesimo scopo risorse proprie degli enti locali.</w:t>
      </w:r>
    </w:p>
    <w:p w14:paraId="2532AF62" w14:textId="77777777" w:rsidR="009164A2" w:rsidRPr="00A20489" w:rsidRDefault="009164A2" w:rsidP="009164A2">
      <w:pPr>
        <w:spacing w:after="80"/>
        <w:ind w:right="261" w:hanging="11"/>
        <w:jc w:val="both"/>
        <w:rPr>
          <w:rFonts w:ascii="Bookman Old Style" w:hAnsi="Bookman Old Style" w:cstheme="minorHAnsi"/>
          <w:i/>
          <w:iCs/>
        </w:rPr>
      </w:pPr>
      <w:r w:rsidRPr="00A20489">
        <w:rPr>
          <w:rFonts w:ascii="Bookman Old Style" w:hAnsi="Bookman Old Style" w:cstheme="minorHAnsi"/>
          <w:i/>
          <w:iCs/>
        </w:rPr>
        <w:t xml:space="preserve">In ragione dei significativi aumenti di costo per l’energia che persisteranno anche durante l’esercizio finanziario 2023, il </w:t>
      </w:r>
      <w:r w:rsidRPr="00A20489">
        <w:rPr>
          <w:rFonts w:ascii="Bookman Old Style" w:hAnsi="Bookman Old Style" w:cstheme="minorHAnsi"/>
          <w:b/>
          <w:bCs/>
          <w:i/>
          <w:iCs/>
        </w:rPr>
        <w:t xml:space="preserve">comma 3 </w:t>
      </w:r>
      <w:r w:rsidRPr="00A20489">
        <w:rPr>
          <w:rFonts w:ascii="Bookman Old Style" w:hAnsi="Bookman Old Style" w:cstheme="minorHAnsi"/>
          <w:i/>
          <w:iCs/>
        </w:rPr>
        <w:t>consente l’utilizzo degli importi riscossi in conto competenza, per violazione delle norme sui limiti di velocità e per i parcheggi a pagamento gestiti dai medesimi enti, anche a copertura delle maggiori spese sostenute per energia elettrica e gas.</w:t>
      </w:r>
    </w:p>
    <w:p w14:paraId="17573E44" w14:textId="77777777" w:rsidR="007D382E" w:rsidRDefault="007D4BE8" w:rsidP="00353182">
      <w:pPr>
        <w:spacing w:after="80"/>
        <w:ind w:right="261"/>
        <w:jc w:val="both"/>
        <w:rPr>
          <w:rFonts w:ascii="Bookman Old Style" w:hAnsi="Bookman Old Style" w:cs="Times-Roman"/>
          <w:i/>
          <w:iCs/>
        </w:rPr>
      </w:pPr>
      <w:r>
        <w:rPr>
          <w:rFonts w:ascii="Bookman Old Style" w:hAnsi="Bookman Old Style" w:cstheme="minorHAnsi"/>
          <w:i/>
          <w:iCs/>
        </w:rPr>
        <w:t>C</w:t>
      </w:r>
      <w:r w:rsidR="00353182">
        <w:rPr>
          <w:rFonts w:ascii="Bookman Old Style" w:hAnsi="Bookman Old Style" w:cstheme="minorHAnsi"/>
          <w:i/>
          <w:iCs/>
        </w:rPr>
        <w:t xml:space="preserve">on il </w:t>
      </w:r>
      <w:r w:rsidR="00353182" w:rsidRPr="00353182">
        <w:rPr>
          <w:rFonts w:ascii="Bookman Old Style" w:hAnsi="Bookman Old Style" w:cstheme="minorHAnsi"/>
          <w:b/>
          <w:bCs/>
          <w:i/>
          <w:iCs/>
        </w:rPr>
        <w:t>comma 4</w:t>
      </w:r>
      <w:r w:rsidR="00353182">
        <w:rPr>
          <w:rFonts w:ascii="Bookman Old Style" w:hAnsi="Bookman Old Style" w:cstheme="minorHAnsi"/>
          <w:b/>
          <w:bCs/>
          <w:i/>
          <w:iCs/>
        </w:rPr>
        <w:t xml:space="preserve"> </w:t>
      </w:r>
      <w:r w:rsidR="00353182">
        <w:rPr>
          <w:rFonts w:ascii="Bookman Old Style" w:hAnsi="Bookman Old Style" w:cstheme="minorHAnsi"/>
          <w:i/>
          <w:iCs/>
        </w:rPr>
        <w:t>si sospendono ai fini della formazione del bilancio di previsione 2023-25</w:t>
      </w:r>
      <w:r w:rsidR="00353182" w:rsidRPr="00A20489">
        <w:rPr>
          <w:rFonts w:ascii="Bookman Old Style" w:hAnsi="Bookman Old Style" w:cs="Times-Roman"/>
          <w:i/>
          <w:iCs/>
        </w:rPr>
        <w:t xml:space="preserve"> le limitazioni oggi previste dal</w:t>
      </w:r>
      <w:r w:rsidR="006A03A9">
        <w:rPr>
          <w:rFonts w:ascii="Bookman Old Style" w:hAnsi="Bookman Old Style" w:cs="Times-Roman"/>
          <w:i/>
          <w:iCs/>
        </w:rPr>
        <w:t xml:space="preserve"> comma 866 della legge 205/2017 </w:t>
      </w:r>
      <w:r w:rsidR="00353182" w:rsidRPr="00A20489">
        <w:rPr>
          <w:rFonts w:ascii="Bookman Old Style" w:hAnsi="Bookman Old Style" w:cs="Times-Roman"/>
          <w:i/>
          <w:iCs/>
        </w:rPr>
        <w:t>per l’utilizzo dei proventi derivanti da alienazioni immobiliari per il finanziamento dell’estinzione anticipata del debito e per la quota capitale in ammortamento.</w:t>
      </w:r>
      <w:r>
        <w:rPr>
          <w:rFonts w:ascii="Bookman Old Style" w:hAnsi="Bookman Old Style" w:cs="Times-Roman"/>
          <w:i/>
          <w:iCs/>
        </w:rPr>
        <w:t xml:space="preserve"> </w:t>
      </w:r>
    </w:p>
    <w:p w14:paraId="638ED3FC" w14:textId="39631244" w:rsidR="00C6665A" w:rsidRPr="00C6665A" w:rsidRDefault="007D382E" w:rsidP="00B2207C">
      <w:pPr>
        <w:spacing w:after="80"/>
        <w:ind w:right="261"/>
        <w:jc w:val="both"/>
        <w:rPr>
          <w:rFonts w:ascii="Bookman Old Style" w:hAnsi="Bookman Old Style"/>
          <w:i/>
          <w:iCs/>
        </w:rPr>
      </w:pPr>
      <w:r>
        <w:rPr>
          <w:rFonts w:ascii="Bookman Old Style" w:hAnsi="Bookman Old Style" w:cs="Times-Roman"/>
          <w:i/>
          <w:iCs/>
        </w:rPr>
        <w:t>C</w:t>
      </w:r>
      <w:r w:rsidR="007D4BE8">
        <w:rPr>
          <w:rFonts w:ascii="Bookman Old Style" w:hAnsi="Bookman Old Style" w:cs="Times-Roman"/>
          <w:i/>
          <w:iCs/>
        </w:rPr>
        <w:t xml:space="preserve">on il </w:t>
      </w:r>
      <w:r w:rsidR="007D4BE8" w:rsidRPr="0072231A">
        <w:rPr>
          <w:rFonts w:ascii="Bookman Old Style" w:hAnsi="Bookman Old Style" w:cs="Times-Roman"/>
          <w:b/>
          <w:bCs/>
          <w:i/>
          <w:iCs/>
        </w:rPr>
        <w:t>comma 5</w:t>
      </w:r>
      <w:r w:rsidR="007D4BE8">
        <w:rPr>
          <w:rFonts w:ascii="Bookman Old Style" w:hAnsi="Bookman Old Style" w:cs="Times-Roman"/>
          <w:i/>
          <w:iCs/>
        </w:rPr>
        <w:t xml:space="preserve"> si estende ai finanziamenti</w:t>
      </w:r>
      <w:r>
        <w:rPr>
          <w:rFonts w:ascii="Bookman Old Style" w:hAnsi="Bookman Old Style" w:cs="Times-Roman"/>
          <w:i/>
          <w:iCs/>
        </w:rPr>
        <w:t xml:space="preserve"> (effettivamente incassati) </w:t>
      </w:r>
      <w:r w:rsidR="007D4BE8">
        <w:rPr>
          <w:rFonts w:ascii="Bookman Old Style" w:hAnsi="Bookman Old Style" w:cs="Times-Roman"/>
          <w:i/>
          <w:iCs/>
        </w:rPr>
        <w:t>per investimenti diversi dalle risorse riguardanti il PNRR-PNC</w:t>
      </w:r>
      <w:r w:rsidR="00234F7B">
        <w:rPr>
          <w:rFonts w:ascii="Bookman Old Style" w:hAnsi="Bookman Old Style" w:cs="Times-Roman"/>
          <w:i/>
          <w:iCs/>
        </w:rPr>
        <w:t xml:space="preserve"> la possibilità di utilizzo degli avanzi vincolati per gli enti in disavanzo, </w:t>
      </w:r>
      <w:r w:rsidR="00175734">
        <w:rPr>
          <w:rFonts w:ascii="Bookman Old Style" w:hAnsi="Bookman Old Style" w:cs="Times-Roman"/>
          <w:i/>
          <w:iCs/>
        </w:rPr>
        <w:t>anche in deroga ai limiti ordinari di cui ai commi 897 e 898 della legge 145/2017.</w:t>
      </w:r>
      <w:r>
        <w:rPr>
          <w:rFonts w:ascii="Bookman Old Style" w:hAnsi="Bookman Old Style" w:cs="Times-Roman"/>
          <w:i/>
          <w:iCs/>
        </w:rPr>
        <w:t xml:space="preserve"> </w:t>
      </w:r>
      <w:r w:rsidR="007B5EBC">
        <w:rPr>
          <w:rFonts w:ascii="Bookman Old Style" w:hAnsi="Bookman Old Style" w:cs="Times-Roman"/>
          <w:i/>
          <w:iCs/>
        </w:rPr>
        <w:t>Questo allentamento di vincoli permette una più organica attività di investimento per gli enti in questione</w:t>
      </w:r>
      <w:r w:rsidR="00B2207C">
        <w:rPr>
          <w:rFonts w:ascii="Bookman Old Style" w:hAnsi="Bookman Old Style" w:cs="Times-Roman"/>
          <w:i/>
          <w:iCs/>
        </w:rPr>
        <w:t>.</w:t>
      </w:r>
    </w:p>
    <w:p w14:paraId="37AA69FE" w14:textId="5B7584A2" w:rsidR="0025524D" w:rsidRDefault="00B2207C" w:rsidP="00C6665A">
      <w:pPr>
        <w:spacing w:after="80"/>
        <w:jc w:val="both"/>
        <w:rPr>
          <w:rFonts w:ascii="Times New Roman" w:hAnsi="Times New Roman" w:cs="Times New Roman"/>
          <w:i/>
          <w:iCs/>
        </w:rPr>
      </w:pPr>
      <w:r>
        <w:rPr>
          <w:rFonts w:ascii="Bookman Old Style" w:hAnsi="Bookman Old Style"/>
          <w:i/>
          <w:iCs/>
        </w:rPr>
        <w:t xml:space="preserve">Il </w:t>
      </w:r>
      <w:r w:rsidRPr="00D41D84">
        <w:rPr>
          <w:rFonts w:ascii="Bookman Old Style" w:hAnsi="Bookman Old Style"/>
          <w:b/>
          <w:bCs/>
          <w:i/>
          <w:iCs/>
        </w:rPr>
        <w:t xml:space="preserve">comma </w:t>
      </w:r>
      <w:r w:rsidR="0025524D">
        <w:rPr>
          <w:rFonts w:ascii="Bookman Old Style" w:hAnsi="Bookman Old Style"/>
          <w:b/>
          <w:bCs/>
          <w:i/>
          <w:iCs/>
        </w:rPr>
        <w:t>6</w:t>
      </w:r>
      <w:r>
        <w:rPr>
          <w:rFonts w:ascii="Bookman Old Style" w:hAnsi="Bookman Old Style"/>
          <w:i/>
          <w:iCs/>
        </w:rPr>
        <w:t xml:space="preserve"> estende al triennio 2023-25, c</w:t>
      </w:r>
      <w:r w:rsidR="00C6665A" w:rsidRPr="00C6665A">
        <w:rPr>
          <w:rFonts w:ascii="Bookman Old Style" w:hAnsi="Bookman Old Style"/>
          <w:i/>
          <w:iCs/>
        </w:rPr>
        <w:t xml:space="preserve">ome già previsto per il triennio 2020–2022, la deroga all’articolo 222 del TUEL </w:t>
      </w:r>
      <w:r w:rsidR="00D37684">
        <w:rPr>
          <w:rFonts w:ascii="Bookman Old Style" w:hAnsi="Bookman Old Style"/>
          <w:i/>
          <w:iCs/>
        </w:rPr>
        <w:t xml:space="preserve">che permette agli enti locali </w:t>
      </w:r>
      <w:r w:rsidR="00C6665A" w:rsidRPr="00C6665A">
        <w:rPr>
          <w:rFonts w:ascii="Bookman Old Style" w:hAnsi="Bookman Old Style"/>
          <w:i/>
          <w:iCs/>
        </w:rPr>
        <w:t>di ricorrere ad anticipazioni di tesoreria fino a cinque dodicesimi delle entrate correnti</w:t>
      </w:r>
      <w:r w:rsidR="00D37684">
        <w:rPr>
          <w:rFonts w:ascii="Bookman Old Style" w:hAnsi="Bookman Old Style"/>
          <w:i/>
          <w:iCs/>
        </w:rPr>
        <w:t>, anziché fino a 3 dodicesimi</w:t>
      </w:r>
      <w:r w:rsidR="00C6665A" w:rsidRPr="00C6665A">
        <w:rPr>
          <w:rFonts w:ascii="Bookman Old Style" w:hAnsi="Bookman Old Style"/>
          <w:i/>
          <w:iCs/>
        </w:rPr>
        <w:t>. Lo scopo prioritario della proposta emendativa è quello di agevolare il rispetto dei tempi di pagamento nelle transazioni commerciali</w:t>
      </w:r>
      <w:r w:rsidR="00B2519E">
        <w:rPr>
          <w:rFonts w:ascii="Bookman Old Style" w:hAnsi="Bookman Old Style"/>
          <w:i/>
          <w:iCs/>
        </w:rPr>
        <w:t>, che costituisce obiettivo di riforma nel quadro del PNRR</w:t>
      </w:r>
      <w:r w:rsidR="00C6665A" w:rsidRPr="00C6665A">
        <w:rPr>
          <w:rFonts w:ascii="Bookman Old Style" w:hAnsi="Bookman Old Style"/>
          <w:i/>
          <w:iCs/>
        </w:rPr>
        <w:t xml:space="preserve">. La disposizione risulta particolarmente avvertita </w:t>
      </w:r>
      <w:r w:rsidR="000B3F1D">
        <w:rPr>
          <w:rFonts w:ascii="Bookman Old Style" w:hAnsi="Bookman Old Style"/>
          <w:i/>
          <w:iCs/>
        </w:rPr>
        <w:t>da un significativo numero di enti in tensione finanziaria</w:t>
      </w:r>
      <w:r w:rsidR="007E74C8">
        <w:rPr>
          <w:rFonts w:ascii="Bookman Old Style" w:hAnsi="Bookman Old Style"/>
          <w:i/>
          <w:iCs/>
        </w:rPr>
        <w:t xml:space="preserve">, </w:t>
      </w:r>
      <w:r w:rsidR="00C6665A" w:rsidRPr="00C6665A">
        <w:rPr>
          <w:rFonts w:ascii="Bookman Old Style" w:hAnsi="Bookman Old Style"/>
          <w:i/>
          <w:iCs/>
        </w:rPr>
        <w:t>anche alla luce delle problematiche dovute alla crisi energetica, in un quadro economico già negativamente segnato dagli effetti finanziari perduranti connessi alla crisi post pandemica.</w:t>
      </w:r>
      <w:r w:rsidR="00C6665A" w:rsidRPr="00C6665A">
        <w:rPr>
          <w:rFonts w:ascii="Times New Roman" w:hAnsi="Times New Roman" w:cs="Times New Roman"/>
          <w:i/>
          <w:iCs/>
        </w:rPr>
        <w:t> </w:t>
      </w:r>
    </w:p>
    <w:p w14:paraId="093FBD9F" w14:textId="03522499" w:rsidR="00343F39" w:rsidRDefault="00343F39" w:rsidP="00343F39">
      <w:pPr>
        <w:spacing w:after="80"/>
        <w:ind w:right="261"/>
        <w:jc w:val="both"/>
        <w:rPr>
          <w:rFonts w:ascii="Bookman Old Style" w:hAnsi="Bookman Old Style" w:cstheme="minorHAnsi"/>
          <w:i/>
          <w:iCs/>
        </w:rPr>
      </w:pPr>
      <w:r w:rsidRPr="00A20489">
        <w:rPr>
          <w:rFonts w:ascii="Bookman Old Style" w:hAnsi="Bookman Old Style" w:cstheme="minorHAnsi"/>
          <w:i/>
          <w:iCs/>
        </w:rPr>
        <w:t>Le modifiche proposte non comportano aggravi per la finanza pubblica, in quanto facilitano l’utilizzo di risorse già nelle disponibilità degli enti locali, con la specifica finalità di far fronte all’emergenza energetica</w:t>
      </w:r>
      <w:r w:rsidR="002F0775">
        <w:rPr>
          <w:rFonts w:ascii="Bookman Old Style" w:hAnsi="Bookman Old Style" w:cstheme="minorHAnsi"/>
          <w:i/>
          <w:iCs/>
        </w:rPr>
        <w:t xml:space="preserve"> e snellire taluni impieghi di risorse proprie</w:t>
      </w:r>
      <w:r w:rsidRPr="00A20489">
        <w:rPr>
          <w:rFonts w:ascii="Bookman Old Style" w:hAnsi="Bookman Old Style" w:cstheme="minorHAnsi"/>
          <w:i/>
          <w:iCs/>
        </w:rPr>
        <w:t>. Tali risorse sarebbero comunque utilizzate, in questo campo o in interventi specifici, come nel caso dei proventi da violazioni al codice della strada, con le maggiori difficoltà e con la minore tempestività dovute alla normativa contabile ordinaria.</w:t>
      </w:r>
    </w:p>
    <w:p w14:paraId="514CC573" w14:textId="77777777" w:rsidR="00343F39" w:rsidRDefault="00343F39" w:rsidP="00C6665A">
      <w:pPr>
        <w:spacing w:after="80"/>
        <w:jc w:val="both"/>
        <w:rPr>
          <w:rFonts w:ascii="Times New Roman" w:hAnsi="Times New Roman" w:cs="Times New Roman"/>
          <w:i/>
          <w:iCs/>
        </w:rPr>
      </w:pPr>
    </w:p>
    <w:p w14:paraId="0C0D40BE" w14:textId="74CB74AC" w:rsidR="00C6665A" w:rsidRPr="00C6665A" w:rsidRDefault="00901A9A" w:rsidP="00C6665A">
      <w:pPr>
        <w:spacing w:after="80"/>
        <w:jc w:val="both"/>
        <w:rPr>
          <w:rFonts w:ascii="Bookman Old Style" w:hAnsi="Bookman Old Style"/>
          <w:i/>
          <w:iCs/>
        </w:rPr>
      </w:pPr>
      <w:r>
        <w:rPr>
          <w:rFonts w:ascii="Times New Roman" w:hAnsi="Times New Roman" w:cs="Times New Roman"/>
          <w:b/>
          <w:bCs/>
          <w:i/>
          <w:iCs/>
        </w:rPr>
        <w:t xml:space="preserve"> </w:t>
      </w:r>
    </w:p>
    <w:p w14:paraId="3DECCD8B" w14:textId="77777777" w:rsidR="00343F39" w:rsidRDefault="00343F39">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04BAC540" w14:textId="5C68DCD5" w:rsidR="009164A2" w:rsidRPr="00A20489" w:rsidRDefault="009164A2" w:rsidP="00F56158">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4" w:name="_Toc121214246"/>
      <w:r w:rsidRPr="00A20489">
        <w:rPr>
          <w:rFonts w:ascii="Bookman Old Style" w:hAnsi="Bookman Old Style"/>
          <w:b/>
          <w:bCs/>
          <w:color w:val="2F5496" w:themeColor="accent1" w:themeShade="BF"/>
          <w:sz w:val="22"/>
          <w:szCs w:val="22"/>
        </w:rPr>
        <w:t>Alleggerimento oneri da indebitamento e utilizzo per le maggiori spese energetiche</w:t>
      </w:r>
      <w:r>
        <w:rPr>
          <w:rFonts w:ascii="Bookman Old Style" w:hAnsi="Bookman Old Style"/>
          <w:b/>
          <w:bCs/>
          <w:color w:val="2F5496" w:themeColor="accent1" w:themeShade="BF"/>
          <w:sz w:val="22"/>
          <w:szCs w:val="22"/>
        </w:rPr>
        <w:t xml:space="preserve"> **</w:t>
      </w:r>
      <w:bookmarkEnd w:id="4"/>
    </w:p>
    <w:p w14:paraId="5390200E" w14:textId="77777777" w:rsidR="009164A2" w:rsidRPr="00A20489" w:rsidRDefault="009164A2" w:rsidP="009164A2">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146 aggiungere il seguente art. 146 bis</w:t>
      </w:r>
    </w:p>
    <w:p w14:paraId="5B2AA2CF" w14:textId="77777777" w:rsidR="009164A2" w:rsidRPr="00A20489" w:rsidRDefault="009164A2" w:rsidP="009164A2">
      <w:pPr>
        <w:spacing w:after="80"/>
        <w:jc w:val="both"/>
        <w:rPr>
          <w:rFonts w:ascii="Bookman Old Style" w:eastAsia="Bookman Old Style" w:hAnsi="Bookman Old Style" w:cs="Bookman Old Style"/>
        </w:rPr>
      </w:pPr>
      <w:r w:rsidRPr="00A20489">
        <w:rPr>
          <w:rFonts w:ascii="Bookman Old Style" w:eastAsia="Bookman Old Style" w:hAnsi="Bookman Old Style" w:cs="Bookman Old Style"/>
        </w:rPr>
        <w:t>1. All'articolo 7, comma 2, del decreto-legge 19 giugno 2015, n. 78, convertito, con modificazioni, dalla legge 6 agosto 2015, n. 125, le parole: “Per gli anni dal 2015 al 2024” sono sostituite dalle seguenti: “Per gli anni dal 2015 al 2025”.</w:t>
      </w:r>
    </w:p>
    <w:p w14:paraId="0DB4C45B" w14:textId="77777777" w:rsidR="009164A2" w:rsidRPr="00A20489" w:rsidRDefault="009164A2" w:rsidP="009164A2">
      <w:pPr>
        <w:spacing w:after="80"/>
        <w:jc w:val="both"/>
        <w:rPr>
          <w:rFonts w:ascii="Bookman Old Style" w:eastAsia="Bookman Old Style" w:hAnsi="Bookman Old Style" w:cs="Bookman Old Style"/>
        </w:rPr>
      </w:pPr>
      <w:r w:rsidRPr="00A20489">
        <w:rPr>
          <w:rFonts w:ascii="Bookman Old Style" w:eastAsia="Bookman Old Style" w:hAnsi="Bookman Old Style" w:cs="Bookman Old Style"/>
        </w:rPr>
        <w:t xml:space="preserve">2. Al comma 1, terzo periodo, dell'articolo 44, del decreto-legge 17 ottobre 2016, n. 189, convertito con modificazioni dalla legge 15 dicembre 2016, n. 229, sono apportate le seguenti modificazioni: </w:t>
      </w:r>
    </w:p>
    <w:p w14:paraId="6ADD92C6" w14:textId="77777777" w:rsidR="009164A2" w:rsidRPr="00A20489" w:rsidRDefault="009164A2" w:rsidP="009164A2">
      <w:pPr>
        <w:pStyle w:val="Paragrafoelenco"/>
        <w:numPr>
          <w:ilvl w:val="0"/>
          <w:numId w:val="5"/>
        </w:numPr>
        <w:spacing w:after="80"/>
        <w:contextualSpacing w:val="0"/>
        <w:jc w:val="both"/>
        <w:rPr>
          <w:rFonts w:ascii="Bookman Old Style" w:eastAsia="Bookman Old Style" w:hAnsi="Bookman Old Style" w:cs="Bookman Old Style"/>
        </w:rPr>
      </w:pPr>
      <w:r w:rsidRPr="00A20489">
        <w:rPr>
          <w:rFonts w:ascii="Bookman Old Style" w:eastAsia="Bookman Old Style" w:hAnsi="Bookman Old Style" w:cs="Bookman Old Style"/>
        </w:rPr>
        <w:t xml:space="preserve">le parole “e 2021” sono sostituite con le seguenti: “,2021, 2022, 2023 e 2024” </w:t>
      </w:r>
    </w:p>
    <w:p w14:paraId="5154AD37" w14:textId="77777777" w:rsidR="009164A2" w:rsidRPr="00A20489" w:rsidRDefault="009164A2" w:rsidP="009164A2">
      <w:pPr>
        <w:pStyle w:val="Paragrafoelenco"/>
        <w:numPr>
          <w:ilvl w:val="0"/>
          <w:numId w:val="5"/>
        </w:numPr>
        <w:spacing w:after="80"/>
        <w:contextualSpacing w:val="0"/>
        <w:jc w:val="both"/>
        <w:rPr>
          <w:rFonts w:ascii="Bookman Old Style" w:eastAsia="Bookman Old Style" w:hAnsi="Bookman Old Style" w:cs="Bookman Old Style"/>
        </w:rPr>
      </w:pPr>
      <w:r w:rsidRPr="00A20489">
        <w:rPr>
          <w:rFonts w:ascii="Bookman Old Style" w:eastAsia="Bookman Old Style" w:hAnsi="Bookman Old Style" w:cs="Bookman Old Style"/>
        </w:rPr>
        <w:t xml:space="preserve">le parole “e al quarto” sono sostituite con le seguenti: “, al quarto, al quinto, al sesto e al settimo.”. </w:t>
      </w:r>
    </w:p>
    <w:p w14:paraId="3885F76A" w14:textId="77777777" w:rsidR="009164A2" w:rsidRPr="00A20489" w:rsidRDefault="009164A2" w:rsidP="009164A2">
      <w:pPr>
        <w:spacing w:after="80"/>
        <w:jc w:val="both"/>
        <w:rPr>
          <w:rFonts w:ascii="Bookman Old Style" w:eastAsia="Bookman Old Style" w:hAnsi="Bookman Old Style" w:cs="Bookman Old Style"/>
        </w:rPr>
      </w:pPr>
      <w:r w:rsidRPr="00A20489">
        <w:rPr>
          <w:rFonts w:ascii="Bookman Old Style" w:eastAsia="Bookman Old Style" w:hAnsi="Bookman Old Style" w:cs="Bookman Old Style"/>
        </w:rPr>
        <w:t>3. In considerazione delle difficoltà determinate dall’attuale emergenza dovuta all’aumento dei costi energetici, nel corso dell’anno 2023, gli enti locali possono effettuare operazioni di rinegoziazione o sospensione quota capitale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14:paraId="06716E96" w14:textId="77777777" w:rsidR="009164A2" w:rsidRPr="00A20489" w:rsidRDefault="009164A2" w:rsidP="009164A2">
      <w:pPr>
        <w:spacing w:after="80"/>
        <w:jc w:val="both"/>
        <w:rPr>
          <w:rFonts w:ascii="Bookman Old Style" w:eastAsia="Bookman Old Style" w:hAnsi="Bookman Old Style" w:cs="Bookman Old Style"/>
        </w:rPr>
      </w:pPr>
      <w:r w:rsidRPr="00A20489">
        <w:rPr>
          <w:rFonts w:ascii="Bookman Old Style" w:eastAsia="Bookman Old Style" w:hAnsi="Bookman Old Style" w:cs="Bookman Old Style"/>
        </w:rPr>
        <w:t>4. In considerazione dell’emergenza dovuta all’aumento dei costi energetici, in caso di adesione ad accordi promossi dall’Associazione Bancaria Italiana (Abi) e dalle associazioni degli enti locali, che prevedono la sospensione delle quote capitale delle rate di ammortamento in scadenza nell’anno 2023 dei finanziamenti in essere, con conseguente modifica del relativo piano di ammortamento, tale sospensione può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 ammortamento.</w:t>
      </w:r>
    </w:p>
    <w:p w14:paraId="48AC1223" w14:textId="77777777" w:rsidR="009164A2" w:rsidRPr="00A20489" w:rsidRDefault="009164A2" w:rsidP="009164A2">
      <w:pPr>
        <w:spacing w:after="80"/>
        <w:jc w:val="center"/>
        <w:rPr>
          <w:rFonts w:ascii="Bookman Old Style" w:eastAsia="Bookman Old Style" w:hAnsi="Bookman Old Style" w:cs="Bookman Old Style"/>
          <w:b/>
          <w:bCs/>
        </w:rPr>
      </w:pPr>
      <w:r w:rsidRPr="00A20489">
        <w:rPr>
          <w:rFonts w:ascii="Bookman Old Style" w:eastAsia="Bookman Old Style" w:hAnsi="Bookman Old Style" w:cs="Bookman Old Style"/>
          <w:b/>
          <w:bCs/>
        </w:rPr>
        <w:t>Motivazione</w:t>
      </w:r>
    </w:p>
    <w:p w14:paraId="0C40918C" w14:textId="77777777" w:rsidR="009164A2" w:rsidRPr="00A20489" w:rsidRDefault="009164A2" w:rsidP="009164A2">
      <w:pPr>
        <w:spacing w:after="80"/>
        <w:jc w:val="both"/>
        <w:rPr>
          <w:rFonts w:ascii="Bookman Old Style" w:hAnsi="Bookman Old Style"/>
        </w:rPr>
      </w:pPr>
      <w:r w:rsidRPr="00A20489">
        <w:rPr>
          <w:rFonts w:ascii="Bookman Old Style" w:eastAsia="Bookman Old Style" w:hAnsi="Bookman Old Style" w:cs="Bookman Old Style"/>
          <w:i/>
          <w:iCs/>
        </w:rPr>
        <w:t xml:space="preserve">Il </w:t>
      </w:r>
      <w:r w:rsidRPr="00A20489">
        <w:rPr>
          <w:rFonts w:ascii="Bookman Old Style" w:eastAsia="Bookman Old Style" w:hAnsi="Bookman Old Style" w:cs="Bookman Old Style"/>
          <w:b/>
          <w:bCs/>
          <w:i/>
          <w:iCs/>
        </w:rPr>
        <w:t>comma 1</w:t>
      </w:r>
      <w:r w:rsidRPr="00A20489">
        <w:rPr>
          <w:rFonts w:ascii="Bookman Old Style" w:eastAsia="Bookman Old Style" w:hAnsi="Bookman Old Style" w:cs="Bookman Old Style"/>
          <w:i/>
          <w:iCs/>
        </w:rPr>
        <w:t xml:space="preserve"> estende fino al 2025 la possibilità di </w:t>
      </w:r>
      <w:r w:rsidRPr="00A20489">
        <w:rPr>
          <w:rFonts w:ascii="Bookman Old Style" w:eastAsia="Bookman Old Style" w:hAnsi="Bookman Old Style" w:cs="Bookman Old Style"/>
          <w:b/>
          <w:bCs/>
          <w:i/>
          <w:iCs/>
        </w:rPr>
        <w:t>utilizzare liberamente</w:t>
      </w:r>
      <w:r w:rsidRPr="00A20489">
        <w:rPr>
          <w:rFonts w:ascii="Bookman Old Style" w:eastAsia="Bookman Old Style" w:hAnsi="Bookman Old Style" w:cs="Bookman Old Style"/>
          <w:i/>
          <w:iCs/>
        </w:rPr>
        <w:t xml:space="preserve">, quindi anche per spesa corrente, </w:t>
      </w:r>
      <w:r w:rsidRPr="00A20489">
        <w:rPr>
          <w:rFonts w:ascii="Bookman Old Style" w:eastAsia="Bookman Old Style" w:hAnsi="Bookman Old Style" w:cs="Bookman Old Style"/>
          <w:b/>
          <w:bCs/>
          <w:i/>
          <w:iCs/>
        </w:rPr>
        <w:t>i risparmi derivanti da operazioni di rinegoziazione</w:t>
      </w:r>
      <w:r w:rsidRPr="00A20489">
        <w:rPr>
          <w:rFonts w:ascii="Bookman Old Style" w:eastAsia="Bookman Old Style" w:hAnsi="Bookman Old Style" w:cs="Bookman Old Style"/>
          <w:i/>
          <w:iCs/>
        </w:rPr>
        <w:t xml:space="preserve"> dei mutui.</w:t>
      </w:r>
    </w:p>
    <w:p w14:paraId="241C709E" w14:textId="77777777" w:rsidR="009164A2" w:rsidRPr="00A20489" w:rsidRDefault="009164A2" w:rsidP="009164A2">
      <w:pPr>
        <w:spacing w:after="80"/>
        <w:jc w:val="both"/>
        <w:rPr>
          <w:rFonts w:ascii="Bookman Old Style" w:eastAsia="Bookman Old Style" w:hAnsi="Bookman Old Style" w:cs="Bookman Old Style"/>
          <w:i/>
          <w:iCs/>
        </w:rPr>
      </w:pPr>
      <w:r w:rsidRPr="00A20489">
        <w:rPr>
          <w:rFonts w:ascii="Bookman Old Style" w:eastAsia="Bookman Old Style" w:hAnsi="Bookman Old Style" w:cs="Bookman Old Style"/>
          <w:i/>
          <w:iCs/>
        </w:rPr>
        <w:t xml:space="preserve">Il </w:t>
      </w:r>
      <w:r w:rsidRPr="00A20489">
        <w:rPr>
          <w:rFonts w:ascii="Bookman Old Style" w:eastAsia="Bookman Old Style" w:hAnsi="Bookman Old Style" w:cs="Bookman Old Style"/>
          <w:b/>
          <w:bCs/>
          <w:i/>
          <w:iCs/>
        </w:rPr>
        <w:t xml:space="preserve">comma 2 </w:t>
      </w:r>
      <w:r w:rsidRPr="00A20489">
        <w:rPr>
          <w:rFonts w:ascii="Bookman Old Style" w:eastAsia="Bookman Old Style" w:hAnsi="Bookman Old Style" w:cs="Bookman Old Style"/>
          <w:i/>
          <w:iCs/>
        </w:rPr>
        <w:t xml:space="preserve">proroga per un ulteriore biennio il differimento della corresponsione dei ratei di mutuo da parte dei Comuni del </w:t>
      </w:r>
      <w:r w:rsidRPr="00A20489">
        <w:rPr>
          <w:rFonts w:ascii="Bookman Old Style" w:eastAsia="Bookman Old Style" w:hAnsi="Bookman Old Style" w:cs="Bookman Old Style"/>
          <w:b/>
          <w:bCs/>
          <w:i/>
          <w:iCs/>
        </w:rPr>
        <w:t>cratere sismico del Centro Italia</w:t>
      </w:r>
      <w:r w:rsidRPr="00A20489">
        <w:rPr>
          <w:rFonts w:ascii="Bookman Old Style" w:eastAsia="Bookman Old Style" w:hAnsi="Bookman Old Style" w:cs="Bookman Old Style"/>
          <w:i/>
          <w:iCs/>
        </w:rPr>
        <w:t xml:space="preserve"> </w:t>
      </w:r>
    </w:p>
    <w:p w14:paraId="72191F2F" w14:textId="2D315D34" w:rsidR="009164A2" w:rsidRPr="00A20489" w:rsidRDefault="009164A2" w:rsidP="009164A2">
      <w:pPr>
        <w:spacing w:after="80"/>
        <w:jc w:val="both"/>
        <w:rPr>
          <w:rFonts w:ascii="Bookman Old Style" w:hAnsi="Bookman Old Style"/>
        </w:rPr>
      </w:pPr>
      <w:r w:rsidRPr="00A20489">
        <w:rPr>
          <w:rFonts w:ascii="Bookman Old Style" w:eastAsia="Bookman Old Style" w:hAnsi="Bookman Old Style" w:cs="Bookman Old Style"/>
          <w:i/>
          <w:iCs/>
        </w:rPr>
        <w:t xml:space="preserve">Il </w:t>
      </w:r>
      <w:r w:rsidRPr="00A20489">
        <w:rPr>
          <w:rFonts w:ascii="Bookman Old Style" w:eastAsia="Bookman Old Style" w:hAnsi="Bookman Old Style" w:cs="Bookman Old Style"/>
          <w:b/>
          <w:bCs/>
          <w:i/>
          <w:iCs/>
        </w:rPr>
        <w:t>comma 3</w:t>
      </w:r>
      <w:r w:rsidRPr="00A20489">
        <w:rPr>
          <w:rFonts w:ascii="Bookman Old Style" w:eastAsia="Bookman Old Style" w:hAnsi="Bookman Old Style" w:cs="Bookman Old Style"/>
          <w:i/>
          <w:iCs/>
        </w:rPr>
        <w:t xml:space="preserve"> è finalizzato a facilitare le procedure di adesione a rinegoziazioni o sospensioni del pagamento della quota capitale dei mutui, permettendo agli enti locali, per il 2023, di </w:t>
      </w:r>
      <w:r w:rsidRPr="00A20489">
        <w:rPr>
          <w:rFonts w:ascii="Bookman Old Style" w:eastAsia="Bookman Old Style" w:hAnsi="Bookman Old Style" w:cs="Bookman Old Style"/>
          <w:b/>
          <w:bCs/>
          <w:i/>
          <w:iCs/>
        </w:rPr>
        <w:t>deliberare anche nel corso dell’esercizio provvisorio e anche attraverso delibera dell'organo esecutivo</w:t>
      </w:r>
      <w:r w:rsidRPr="00A20489">
        <w:rPr>
          <w:rFonts w:ascii="Bookman Old Style" w:eastAsia="Bookman Old Style" w:hAnsi="Bookman Old Style" w:cs="Bookman Old Style"/>
          <w:i/>
          <w:iCs/>
        </w:rPr>
        <w:t>.</w:t>
      </w:r>
      <w:r w:rsidR="00901A9A">
        <w:rPr>
          <w:rFonts w:ascii="Bookman Old Style" w:eastAsia="Bookman Old Style" w:hAnsi="Bookman Old Style" w:cs="Bookman Old Style"/>
          <w:i/>
          <w:iCs/>
        </w:rPr>
        <w:t xml:space="preserve"> </w:t>
      </w:r>
    </w:p>
    <w:p w14:paraId="48CE3A58" w14:textId="77777777" w:rsidR="009164A2" w:rsidRPr="00A20489" w:rsidRDefault="009164A2" w:rsidP="009164A2">
      <w:pPr>
        <w:spacing w:after="80"/>
        <w:jc w:val="both"/>
        <w:rPr>
          <w:rFonts w:ascii="Bookman Old Style" w:eastAsia="Bookman Old Style" w:hAnsi="Bookman Old Style" w:cs="Bookman Old Style"/>
          <w:i/>
          <w:iCs/>
        </w:rPr>
      </w:pPr>
      <w:r w:rsidRPr="00A20489">
        <w:rPr>
          <w:rFonts w:ascii="Bookman Old Style" w:eastAsia="Bookman Old Style" w:hAnsi="Bookman Old Style" w:cs="Bookman Old Style"/>
          <w:i/>
          <w:iCs/>
        </w:rPr>
        <w:t xml:space="preserve">Il </w:t>
      </w:r>
      <w:r w:rsidRPr="00A20489">
        <w:rPr>
          <w:rFonts w:ascii="Bookman Old Style" w:eastAsia="Bookman Old Style" w:hAnsi="Bookman Old Style" w:cs="Bookman Old Style"/>
          <w:b/>
          <w:bCs/>
          <w:i/>
          <w:iCs/>
        </w:rPr>
        <w:t xml:space="preserve">comma 4 </w:t>
      </w:r>
      <w:r w:rsidRPr="00A20489">
        <w:rPr>
          <w:rFonts w:ascii="Bookman Old Style" w:eastAsia="Bookman Old Style" w:hAnsi="Bookman Old Style" w:cs="Bookman Old Style"/>
          <w:i/>
          <w:iCs/>
        </w:rPr>
        <w:t>interviene nella facilitazione dell’attuazione di eventuali accordi siglati tra ABI e le associazioni rappresentative degli enti locali, permettendo che eventuali sospensioni della quota capitale 2022/2023 dei mutui bancari possano avvenire in deroga alle regole dell’art. 204 TUEL e senza la verifica di convenienza di cui all’art. 41 della legge 448 del 2001. La norma dispone inoltre che le sospensioni in questione non rendano necessario il rilascio di nuove garanzie, prorogando (di un anno) le garanzie già originariamente prestate, in coincidenza con l’allungamento della durata del mutuo eventualmente stabilito dall'accordo.</w:t>
      </w:r>
    </w:p>
    <w:p w14:paraId="3EAF08E6" w14:textId="77777777" w:rsidR="00651DA7" w:rsidRPr="00F56158" w:rsidRDefault="00651DA7" w:rsidP="00F56158">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5" w:name="_Toc121214247"/>
      <w:r w:rsidRPr="00F56158">
        <w:rPr>
          <w:rFonts w:ascii="Bookman Old Style" w:hAnsi="Bookman Old Style"/>
          <w:b/>
          <w:bCs/>
          <w:color w:val="2F5496" w:themeColor="accent1" w:themeShade="BF"/>
          <w:sz w:val="22"/>
          <w:szCs w:val="22"/>
        </w:rPr>
        <w:t xml:space="preserve">Abolizione dei tagli di </w:t>
      </w:r>
      <w:r w:rsidRPr="008621A5">
        <w:rPr>
          <w:rFonts w:ascii="Bookman Old Style" w:hAnsi="Bookman Old Style"/>
          <w:b/>
          <w:bCs/>
          <w:color w:val="2F5496" w:themeColor="accent1" w:themeShade="BF"/>
          <w:sz w:val="22"/>
          <w:szCs w:val="22"/>
        </w:rPr>
        <w:t>risorse</w:t>
      </w:r>
      <w:r w:rsidRPr="00F56158">
        <w:rPr>
          <w:rFonts w:ascii="Bookman Old Style" w:hAnsi="Bookman Old Style"/>
          <w:b/>
          <w:bCs/>
          <w:color w:val="2F5496" w:themeColor="accent1" w:themeShade="BF"/>
          <w:sz w:val="22"/>
          <w:szCs w:val="22"/>
        </w:rPr>
        <w:t xml:space="preserve"> agli enti locali **</w:t>
      </w:r>
      <w:bookmarkEnd w:id="5"/>
    </w:p>
    <w:p w14:paraId="68F57161" w14:textId="28072FF9" w:rsidR="00651DA7" w:rsidRPr="00A20489" w:rsidRDefault="00651DA7" w:rsidP="00C6605D">
      <w:pPr>
        <w:pStyle w:val="PreformattatoHTML"/>
        <w:shd w:val="clear" w:color="auto" w:fill="FFFFFF"/>
        <w:spacing w:line="259" w:lineRule="auto"/>
        <w:jc w:val="both"/>
        <w:rPr>
          <w:rFonts w:ascii="Bookman Old Style" w:hAnsi="Bookman Old Style"/>
          <w:i/>
          <w:iCs/>
          <w:sz w:val="22"/>
          <w:szCs w:val="22"/>
        </w:rPr>
      </w:pPr>
      <w:bookmarkStart w:id="6" w:name="_Hlk120713269"/>
      <w:r w:rsidRPr="00A20489">
        <w:rPr>
          <w:rFonts w:ascii="Bookman Old Style" w:hAnsi="Bookman Old Style"/>
          <w:i/>
          <w:iCs/>
          <w:sz w:val="22"/>
          <w:szCs w:val="22"/>
        </w:rPr>
        <w:t>Dopo l’art. 144 aggiungere il seguente art. 144</w:t>
      </w:r>
      <w:r w:rsidR="00C6605D">
        <w:rPr>
          <w:rFonts w:ascii="Bookman Old Style" w:hAnsi="Bookman Old Style"/>
          <w:i/>
          <w:iCs/>
          <w:sz w:val="22"/>
          <w:szCs w:val="22"/>
        </w:rPr>
        <w:t>-</w:t>
      </w:r>
      <w:r w:rsidRPr="00A20489">
        <w:rPr>
          <w:rFonts w:ascii="Bookman Old Style" w:hAnsi="Bookman Old Style"/>
          <w:i/>
          <w:iCs/>
          <w:sz w:val="22"/>
          <w:szCs w:val="22"/>
        </w:rPr>
        <w:t>bis</w:t>
      </w:r>
      <w:r w:rsidR="00C6605D">
        <w:rPr>
          <w:rFonts w:ascii="Bookman Old Style" w:hAnsi="Bookman Old Style"/>
          <w:i/>
          <w:iCs/>
          <w:sz w:val="22"/>
          <w:szCs w:val="22"/>
        </w:rPr>
        <w:t>:</w:t>
      </w:r>
    </w:p>
    <w:bookmarkEnd w:id="6"/>
    <w:p w14:paraId="2B0B88F5" w14:textId="77777777" w:rsidR="00651DA7" w:rsidRPr="00A20489" w:rsidRDefault="00651DA7" w:rsidP="00B6005B">
      <w:pPr>
        <w:pStyle w:val="PreformattatoHTML"/>
        <w:shd w:val="clear" w:color="auto" w:fill="FFFFFF"/>
        <w:spacing w:line="259" w:lineRule="auto"/>
        <w:jc w:val="both"/>
        <w:rPr>
          <w:rFonts w:ascii="Bookman Old Style" w:hAnsi="Bookman Old Style"/>
          <w:sz w:val="22"/>
          <w:szCs w:val="22"/>
        </w:rPr>
      </w:pPr>
      <w:r w:rsidRPr="00A20489">
        <w:rPr>
          <w:rFonts w:ascii="Bookman Old Style" w:hAnsi="Bookman Old Style"/>
          <w:sz w:val="22"/>
          <w:szCs w:val="22"/>
        </w:rPr>
        <w:t>1. Al comma 850, primo periodo, dell’articolo 1 della legge 30 dicembre 2020, n 178, le parole “le regioni, le province autonome” sono sostituite dalle parole “le regioni e le province autonome” e sono abolite le parole “</w:t>
      </w:r>
      <w:r w:rsidRPr="00A20489">
        <w:rPr>
          <w:rFonts w:ascii="Bookman Old Style" w:hAnsi="Bookman Old Style"/>
          <w:color w:val="19191A"/>
          <w:sz w:val="22"/>
          <w:szCs w:val="22"/>
        </w:rPr>
        <w:t>i comuni, le province e le città metropolitane,”; le parole da “per le regioni e le province autonome” fino alla fine del comma sono abolite.</w:t>
      </w:r>
      <w:r w:rsidRPr="00A20489">
        <w:rPr>
          <w:rFonts w:ascii="Bookman Old Style" w:hAnsi="Bookman Old Style"/>
          <w:sz w:val="22"/>
          <w:szCs w:val="22"/>
        </w:rPr>
        <w:t xml:space="preserve"> Il comma 853 è abrogato.</w:t>
      </w:r>
    </w:p>
    <w:p w14:paraId="7491D600" w14:textId="77777777" w:rsidR="00651DA7" w:rsidRPr="00A20489" w:rsidRDefault="00651DA7" w:rsidP="00C6605D">
      <w:pPr>
        <w:spacing w:after="0"/>
        <w:jc w:val="center"/>
        <w:rPr>
          <w:rFonts w:ascii="Bookman Old Style" w:hAnsi="Bookman Old Style"/>
          <w:b/>
          <w:bCs/>
        </w:rPr>
      </w:pPr>
      <w:r w:rsidRPr="00A20489">
        <w:rPr>
          <w:rFonts w:ascii="Bookman Old Style" w:hAnsi="Bookman Old Style"/>
          <w:b/>
          <w:bCs/>
        </w:rPr>
        <w:t>Motivazione</w:t>
      </w:r>
    </w:p>
    <w:p w14:paraId="19CBA448" w14:textId="03EA41CC" w:rsidR="00651DA7" w:rsidRDefault="00651DA7" w:rsidP="00651DA7">
      <w:pPr>
        <w:spacing w:after="80"/>
        <w:jc w:val="both"/>
        <w:rPr>
          <w:rFonts w:ascii="Bookman Old Style" w:hAnsi="Bookman Old Style"/>
          <w:i/>
          <w:iCs/>
        </w:rPr>
      </w:pPr>
      <w:r w:rsidRPr="00A20489">
        <w:rPr>
          <w:rFonts w:ascii="Bookman Old Style" w:hAnsi="Bookman Old Style"/>
          <w:i/>
          <w:iCs/>
        </w:rPr>
        <w:t xml:space="preserve">La norma proposta stabilizza le risorse destinate agli enti locali che verrebbero ridotte per effetto di norme vigenti. In particolare, viene abolita la riduzione di risorse correlata a risparmi per processi di digitalizzazione della pubblica amministrazione istituita per il triennio 2023-2025 nella misura di 100 milioni di euro annui a carico dei Comuni e di 50 mln. a carico delle e delle Province. </w:t>
      </w:r>
    </w:p>
    <w:p w14:paraId="20F77ABC" w14:textId="512C34B2" w:rsidR="00653808" w:rsidRDefault="00653808" w:rsidP="00651DA7">
      <w:pPr>
        <w:spacing w:after="80"/>
        <w:jc w:val="both"/>
        <w:rPr>
          <w:rFonts w:ascii="Bookman Old Style" w:hAnsi="Bookman Old Style"/>
          <w:i/>
          <w:iCs/>
        </w:rPr>
      </w:pPr>
    </w:p>
    <w:p w14:paraId="7FBAF111" w14:textId="4F74F8B7" w:rsidR="00653808" w:rsidRPr="00F56158" w:rsidRDefault="007E2482" w:rsidP="00F56158">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7" w:name="_Toc121214248"/>
      <w:r>
        <w:rPr>
          <w:rFonts w:ascii="Bookman Old Style" w:hAnsi="Bookman Old Style"/>
          <w:b/>
          <w:bCs/>
          <w:color w:val="2F5496" w:themeColor="accent1" w:themeShade="BF"/>
          <w:sz w:val="22"/>
          <w:szCs w:val="22"/>
        </w:rPr>
        <w:t xml:space="preserve">Definizione agevolata </w:t>
      </w:r>
      <w:r w:rsidR="00653808" w:rsidRPr="00A20489">
        <w:rPr>
          <w:rFonts w:ascii="Bookman Old Style" w:hAnsi="Bookman Old Style"/>
          <w:b/>
          <w:bCs/>
          <w:color w:val="2F5496" w:themeColor="accent1" w:themeShade="BF"/>
          <w:sz w:val="22"/>
          <w:szCs w:val="22"/>
        </w:rPr>
        <w:t>delle entrate locali e condizioni per l’adozione dei programmi potenziamento entrate (co.1091, l. 145/2018)</w:t>
      </w:r>
      <w:r w:rsidR="00653808" w:rsidRPr="00F56158">
        <w:rPr>
          <w:rFonts w:ascii="Times New Roman" w:hAnsi="Times New Roman" w:cs="Times New Roman"/>
          <w:b/>
          <w:bCs/>
          <w:color w:val="2F5496" w:themeColor="accent1" w:themeShade="BF"/>
          <w:sz w:val="22"/>
          <w:szCs w:val="22"/>
        </w:rPr>
        <w:t> </w:t>
      </w:r>
      <w:r w:rsidR="00653808" w:rsidRPr="00F56158">
        <w:rPr>
          <w:rFonts w:ascii="Bookman Old Style" w:hAnsi="Bookman Old Style"/>
          <w:b/>
          <w:bCs/>
          <w:color w:val="2F5496" w:themeColor="accent1" w:themeShade="BF"/>
          <w:sz w:val="22"/>
          <w:szCs w:val="22"/>
        </w:rPr>
        <w:t>**</w:t>
      </w:r>
      <w:bookmarkEnd w:id="7"/>
    </w:p>
    <w:p w14:paraId="5BB06AD0" w14:textId="77777777" w:rsidR="00653808" w:rsidRPr="00A20489" w:rsidRDefault="00653808" w:rsidP="00653808">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41 aggiungere il seguente art. 41 bis</w:t>
      </w:r>
    </w:p>
    <w:p w14:paraId="19FE8289" w14:textId="106A38A1" w:rsidR="00653808" w:rsidRPr="00A20489" w:rsidRDefault="00653808" w:rsidP="00653808">
      <w:pPr>
        <w:spacing w:after="80"/>
        <w:jc w:val="both"/>
        <w:rPr>
          <w:rFonts w:ascii="Bookman Old Style" w:hAnsi="Bookman Old Style"/>
        </w:rPr>
      </w:pPr>
      <w:r w:rsidRPr="00A20489">
        <w:rPr>
          <w:rFonts w:ascii="Bookman Old Style" w:hAnsi="Bookman Old Style"/>
        </w:rPr>
        <w:t xml:space="preserve">1. </w:t>
      </w:r>
      <w:r w:rsidR="006A2A26">
        <w:rPr>
          <w:rFonts w:ascii="Bookman Old Style" w:hAnsi="Bookman Old Style"/>
        </w:rPr>
        <w:t>F</w:t>
      </w:r>
      <w:r w:rsidR="005C67BD">
        <w:rPr>
          <w:rFonts w:ascii="Bookman Old Style" w:hAnsi="Bookman Old Style"/>
        </w:rPr>
        <w:t>erme restando le previsioni di cui all’articolo 41</w:t>
      </w:r>
      <w:r w:rsidR="009B5366">
        <w:rPr>
          <w:rFonts w:ascii="Bookman Old Style" w:hAnsi="Bookman Old Style"/>
        </w:rPr>
        <w:t xml:space="preserve">, anche in relazione alle conseguenze che determinano sulle quote di spettanza degli enti locali oggetto della definizione agevolata </w:t>
      </w:r>
      <w:r w:rsidR="006A2A26">
        <w:rPr>
          <w:rFonts w:ascii="Bookman Old Style" w:hAnsi="Bookman Old Style"/>
        </w:rPr>
        <w:t>ivi prevista, g</w:t>
      </w:r>
      <w:r w:rsidRPr="00A20489">
        <w:rPr>
          <w:rFonts w:ascii="Bookman Old Style" w:hAnsi="Bookman Old Style"/>
        </w:rPr>
        <w:t xml:space="preserve">li enti locali possono determinare con propria delibera di natura regolamentare entro il 31 marzo 2023 la definizione agevolata dei crediti in essere al 31 dicembre 2021, relativi alle proprie entrate tributarie e patrimoniali, consentendo il pagamento senza applicazione di sanzioni ed interessi, in deroga alle disposizioni di legge e regolamentari vigenti. </w:t>
      </w:r>
    </w:p>
    <w:p w14:paraId="53E2747F" w14:textId="761CBFE6" w:rsidR="00653808" w:rsidRPr="00A20489" w:rsidRDefault="00653808" w:rsidP="00653808">
      <w:pPr>
        <w:spacing w:after="80"/>
        <w:jc w:val="both"/>
        <w:rPr>
          <w:rFonts w:ascii="Bookman Old Style" w:hAnsi="Bookman Old Style"/>
        </w:rPr>
      </w:pPr>
      <w:r w:rsidRPr="00A20489">
        <w:rPr>
          <w:rFonts w:ascii="Bookman Old Style" w:hAnsi="Bookman Old Style"/>
        </w:rPr>
        <w:t xml:space="preserve">2. I crediti oggetto di definizione agevolata sono quelli che alla data del 31 dicembre 2021 risultano avviati alla riscossione coattiva </w:t>
      </w:r>
      <w:r w:rsidR="006A2A26">
        <w:rPr>
          <w:rFonts w:ascii="Bookman Old Style" w:hAnsi="Bookman Old Style"/>
        </w:rPr>
        <w:t xml:space="preserve">in forme diverse dall’affidamento all’agente della riscossione, </w:t>
      </w:r>
      <w:r w:rsidRPr="00A20489">
        <w:rPr>
          <w:rFonts w:ascii="Bookman Old Style" w:hAnsi="Bookman Old Style"/>
        </w:rPr>
        <w:t>o oggetto di avvisi di accertamento o intimazioni di pagamento notificate, comunque denominate. Non si fa luogo alla restituzione di somme versate. Gli enti locali possono consentire la rateazione del pagamento entro un massimo di 60 mesi con cadenze trimestrali, assistita, nel caso di persone giuridiche o di persone fisiche con importi dovuti non inferiori a 5 mila euro, da garanzia fideiussoria o ipoteca cautelare, salvo maggiore arco temporale giustificato da condizioni economiche di particolare difficoltà, da regolamentare localmente. In caso di pagamento in unica soluzione il debito</w:t>
      </w:r>
      <w:r w:rsidR="00F34AF4">
        <w:rPr>
          <w:rFonts w:ascii="Bookman Old Style" w:hAnsi="Bookman Old Style"/>
        </w:rPr>
        <w:t>, determinato ai sensi del comma 1</w:t>
      </w:r>
      <w:r w:rsidRPr="00A20489">
        <w:rPr>
          <w:rFonts w:ascii="Bookman Old Style" w:hAnsi="Bookman Old Style"/>
        </w:rPr>
        <w:t xml:space="preserve"> viene ridotto del 20 per cento.</w:t>
      </w:r>
    </w:p>
    <w:p w14:paraId="319C04DA" w14:textId="77777777" w:rsidR="00653808" w:rsidRPr="00A20489" w:rsidRDefault="00653808" w:rsidP="00653808">
      <w:pPr>
        <w:spacing w:after="80"/>
        <w:jc w:val="both"/>
        <w:rPr>
          <w:rFonts w:ascii="Bookman Old Style" w:hAnsi="Bookman Old Style"/>
        </w:rPr>
      </w:pPr>
      <w:r w:rsidRPr="00A20489">
        <w:rPr>
          <w:rFonts w:ascii="Bookman Old Style" w:hAnsi="Bookman Old Style"/>
        </w:rPr>
        <w:t>3. Gli enti locali che adottano il provvedimento di cui al comma 1 possono ridurre il valore del fondo crediti di dubbia esigibilità (FCDE) oggetto di accantonamento nel bilancio di previsione e nel rendiconto di gestione degli anni dal 2023 al 2027 di un importo pari all’80% del valore stimato dei recuperi da definizione agevolata, sulla base di relazione previsionale dell’ufficio entrate dell’ente locale asseverata dal responsabile finanziario e dall’organo di revisione, da allegare ai documenti contabili.</w:t>
      </w:r>
    </w:p>
    <w:p w14:paraId="4972FB6F" w14:textId="77777777" w:rsidR="00653808" w:rsidRPr="00A20489" w:rsidRDefault="00653808" w:rsidP="00653808">
      <w:pPr>
        <w:pStyle w:val="paragraph"/>
        <w:spacing w:before="0" w:beforeAutospacing="0" w:after="80" w:afterAutospacing="0" w:line="259" w:lineRule="auto"/>
        <w:textAlignment w:val="baseline"/>
        <w:rPr>
          <w:rStyle w:val="normaltextrun"/>
          <w:rFonts w:ascii="Bookman Old Style" w:hAnsi="Bookman Old Style" w:cs="Segoe UI"/>
          <w:sz w:val="22"/>
          <w:szCs w:val="22"/>
        </w:rPr>
      </w:pPr>
      <w:r w:rsidRPr="00A20489">
        <w:rPr>
          <w:rStyle w:val="normaltextrun"/>
          <w:rFonts w:ascii="Bookman Old Style" w:hAnsi="Bookman Old Style" w:cs="Segoe UI"/>
          <w:sz w:val="22"/>
          <w:szCs w:val="22"/>
        </w:rPr>
        <w:t>4. Al comma 1091 dell’articolo 1 della legge 30 dicembre 2018, n. 145, sono apportate le seguenti modificazioni:</w:t>
      </w:r>
    </w:p>
    <w:p w14:paraId="5B249BCD" w14:textId="77777777" w:rsidR="00653808" w:rsidRPr="00A20489" w:rsidRDefault="00653808" w:rsidP="00653808">
      <w:pPr>
        <w:pStyle w:val="paragraph"/>
        <w:numPr>
          <w:ilvl w:val="0"/>
          <w:numId w:val="9"/>
        </w:numPr>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al primo periodo sono soppresse le parole “entro i termini stabiliti dal testo unico di cui al decreto legislativo 18 agosto 2000, n. 267”;</w:t>
      </w:r>
      <w:r w:rsidRPr="00A20489">
        <w:rPr>
          <w:rStyle w:val="eop"/>
          <w:rFonts w:ascii="Bookman Old Style" w:hAnsi="Bookman Old Style" w:cs="Segoe UI"/>
          <w:sz w:val="22"/>
          <w:szCs w:val="22"/>
        </w:rPr>
        <w:t> </w:t>
      </w:r>
    </w:p>
    <w:p w14:paraId="2679F671" w14:textId="77777777" w:rsidR="00653808" w:rsidRPr="00A20489" w:rsidRDefault="00653808" w:rsidP="00653808">
      <w:pPr>
        <w:pStyle w:val="paragraph"/>
        <w:numPr>
          <w:ilvl w:val="0"/>
          <w:numId w:val="9"/>
        </w:numPr>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color w:val="000000"/>
          <w:sz w:val="22"/>
          <w:szCs w:val="22"/>
        </w:rPr>
        <w:t>dopo il secondo periodo è inserito il seguente: “Tali incentivi non rientrano nei limiti di spesa di personale previsti dall'art. 1 comma 557 e seguenti e 562 della legge 27 dicembre 2006, n.296”</w:t>
      </w:r>
      <w:r w:rsidRPr="00A20489">
        <w:rPr>
          <w:rStyle w:val="normaltextrun"/>
          <w:color w:val="000000"/>
          <w:sz w:val="22"/>
          <w:szCs w:val="22"/>
        </w:rPr>
        <w:t> </w:t>
      </w:r>
      <w:r w:rsidRPr="00A20489">
        <w:rPr>
          <w:rStyle w:val="eop"/>
          <w:rFonts w:ascii="Bookman Old Style" w:hAnsi="Bookman Old Style" w:cs="Segoe UI"/>
          <w:color w:val="000000"/>
          <w:sz w:val="22"/>
          <w:szCs w:val="22"/>
        </w:rPr>
        <w:t> </w:t>
      </w:r>
    </w:p>
    <w:p w14:paraId="2FF02744" w14:textId="77777777" w:rsidR="00653808" w:rsidRPr="00A20489" w:rsidRDefault="00653808" w:rsidP="00653808">
      <w:pPr>
        <w:spacing w:after="80"/>
        <w:jc w:val="center"/>
        <w:rPr>
          <w:rFonts w:ascii="Bookman Old Style" w:hAnsi="Bookman Old Style"/>
          <w:b/>
          <w:bCs/>
        </w:rPr>
      </w:pPr>
      <w:r w:rsidRPr="00A20489">
        <w:rPr>
          <w:rFonts w:ascii="Bookman Old Style" w:hAnsi="Bookman Old Style"/>
          <w:b/>
          <w:bCs/>
        </w:rPr>
        <w:t>Motivazione</w:t>
      </w:r>
    </w:p>
    <w:p w14:paraId="2B1F29DB" w14:textId="5FA4C9AB" w:rsidR="00653808" w:rsidRPr="00A20489" w:rsidRDefault="00653808" w:rsidP="00653808">
      <w:pPr>
        <w:spacing w:after="80"/>
        <w:jc w:val="both"/>
        <w:rPr>
          <w:rFonts w:ascii="Bookman Old Style" w:hAnsi="Bookman Old Style"/>
          <w:i/>
          <w:iCs/>
        </w:rPr>
      </w:pPr>
      <w:r w:rsidRPr="00A20489">
        <w:rPr>
          <w:rFonts w:ascii="Bookman Old Style" w:hAnsi="Bookman Old Style"/>
          <w:i/>
          <w:iCs/>
        </w:rPr>
        <w:t>Le difficoltà della riscossione locale comportano l’immobilizzazione di ingenti risorse a titolo di accantonamento al Fondo crediti di dubbia esigibilità (FCDE). La proposta (</w:t>
      </w:r>
      <w:r w:rsidRPr="00A20489">
        <w:rPr>
          <w:rFonts w:ascii="Bookman Old Style" w:hAnsi="Bookman Old Style"/>
          <w:b/>
          <w:bCs/>
          <w:i/>
          <w:iCs/>
        </w:rPr>
        <w:t>commi 1 e 2</w:t>
      </w:r>
      <w:r w:rsidRPr="00A20489">
        <w:rPr>
          <w:rFonts w:ascii="Bookman Old Style" w:hAnsi="Bookman Old Style"/>
          <w:i/>
          <w:iCs/>
        </w:rPr>
        <w:t>) dà facoltà agli enti locali di promuovere una definizione agevolata dei crediti pregressi con abbattimento di sanzioni e interessi e richiesta di pagamento della sola sorte sulla base di una rateizzazione fino a 5 anni, o dell’80 per cento dell’importo dovuto in caso di pagamento in unica soluzione, al fine di alleggerire il carico di crediti pregressi che rischiano di rimanere senza soddisfazione. La norma (</w:t>
      </w:r>
      <w:r w:rsidRPr="00A20489">
        <w:rPr>
          <w:rFonts w:ascii="Bookman Old Style" w:hAnsi="Bookman Old Style"/>
          <w:b/>
          <w:bCs/>
          <w:i/>
          <w:iCs/>
        </w:rPr>
        <w:t>comma 3</w:t>
      </w:r>
      <w:r w:rsidRPr="00A20489">
        <w:rPr>
          <w:rFonts w:ascii="Bookman Old Style" w:hAnsi="Bookman Old Style"/>
          <w:i/>
          <w:iCs/>
        </w:rPr>
        <w:t>) consente altresì agli enti che si attiveranno nel senso indicato di diminuire il carico del FCDE fino al 2027, per un importo pari al</w:t>
      </w:r>
      <w:r w:rsidR="00F56521">
        <w:rPr>
          <w:rFonts w:ascii="Bookman Old Style" w:hAnsi="Bookman Old Style"/>
          <w:i/>
          <w:iCs/>
        </w:rPr>
        <w:t>l’8</w:t>
      </w:r>
      <w:r w:rsidRPr="00A20489">
        <w:rPr>
          <w:rFonts w:ascii="Bookman Old Style" w:hAnsi="Bookman Old Style"/>
          <w:i/>
          <w:iCs/>
        </w:rPr>
        <w:t>0% della stima del gettito recuperato sulla base di asseverazioni dell’organo di revisione.</w:t>
      </w:r>
      <w:r w:rsidR="00436DB8">
        <w:rPr>
          <w:rFonts w:ascii="Bookman Old Style" w:hAnsi="Bookman Old Style"/>
          <w:i/>
          <w:iCs/>
        </w:rPr>
        <w:t xml:space="preserve"> Questo </w:t>
      </w:r>
      <w:r w:rsidR="00F57049">
        <w:rPr>
          <w:rFonts w:ascii="Bookman Old Style" w:hAnsi="Bookman Old Style"/>
          <w:i/>
          <w:iCs/>
        </w:rPr>
        <w:t xml:space="preserve">dispositivo produce un’incentivazione a favore di una più generale attivazione della gestione delle entrate, in quanto i criteri ordinari di calcolo del FCDE, che ritornano pienamente in vigore nel 2028, riflettono le capacità di riscossione dell’ente come registrate negli ultimi anni di </w:t>
      </w:r>
      <w:r w:rsidR="00325343">
        <w:rPr>
          <w:rFonts w:ascii="Bookman Old Style" w:hAnsi="Bookman Old Style"/>
          <w:i/>
          <w:iCs/>
        </w:rPr>
        <w:t>incassi.</w:t>
      </w:r>
    </w:p>
    <w:p w14:paraId="65957B57" w14:textId="2E2022DB" w:rsidR="00653808" w:rsidRPr="00A20489" w:rsidRDefault="00653808" w:rsidP="00653808">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color w:val="000000"/>
          <w:sz w:val="22"/>
          <w:szCs w:val="22"/>
        </w:rPr>
        <w:t xml:space="preserve">La proposta </w:t>
      </w:r>
      <w:r w:rsidRPr="00A20489">
        <w:rPr>
          <w:rStyle w:val="normaltextrun"/>
          <w:rFonts w:ascii="Bookman Old Style" w:hAnsi="Bookman Old Style" w:cs="Segoe UI"/>
          <w:b/>
          <w:bCs/>
          <w:i/>
          <w:iCs/>
          <w:color w:val="000000"/>
          <w:sz w:val="22"/>
          <w:szCs w:val="22"/>
        </w:rPr>
        <w:t>di cui al comma 4</w:t>
      </w:r>
      <w:r w:rsidRPr="00A20489">
        <w:rPr>
          <w:rStyle w:val="normaltextrun"/>
          <w:rFonts w:ascii="Bookman Old Style" w:hAnsi="Bookman Old Style" w:cs="Segoe UI"/>
          <w:i/>
          <w:iCs/>
          <w:color w:val="000000"/>
          <w:sz w:val="22"/>
          <w:szCs w:val="22"/>
        </w:rPr>
        <w:t xml:space="preserve"> rende possibile l’adozione dei programmi di potenziamento ed incentivazione delle attività di recupero dell’evasione sui tributi locali, a condizione che il Comune abbia approvato comunque il bilancio di previsione.</w:t>
      </w:r>
      <w:r w:rsidRPr="00A20489">
        <w:rPr>
          <w:rStyle w:val="normaltextrun"/>
          <w:color w:val="000000"/>
          <w:sz w:val="22"/>
          <w:szCs w:val="22"/>
        </w:rPr>
        <w:t> </w:t>
      </w:r>
      <w:r w:rsidRPr="00A20489">
        <w:rPr>
          <w:rStyle w:val="eop"/>
          <w:rFonts w:ascii="Bookman Old Style" w:hAnsi="Bookman Old Style" w:cs="Segoe UI"/>
          <w:color w:val="000000"/>
          <w:sz w:val="22"/>
          <w:szCs w:val="22"/>
        </w:rPr>
        <w:t> </w:t>
      </w:r>
    </w:p>
    <w:p w14:paraId="32A9AF11" w14:textId="3F956CFA" w:rsidR="00653808" w:rsidRDefault="00653808" w:rsidP="00653808">
      <w:pPr>
        <w:pStyle w:val="paragraph"/>
        <w:spacing w:before="0" w:beforeAutospacing="0" w:after="80" w:afterAutospacing="0" w:line="259" w:lineRule="auto"/>
        <w:jc w:val="both"/>
        <w:textAlignment w:val="baseline"/>
        <w:rPr>
          <w:rStyle w:val="eop"/>
          <w:rFonts w:ascii="Bookman Old Style" w:hAnsi="Bookman Old Style" w:cs="Segoe UI"/>
          <w:color w:val="000000"/>
          <w:sz w:val="22"/>
          <w:szCs w:val="22"/>
        </w:rPr>
      </w:pPr>
      <w:r w:rsidRPr="00A20489">
        <w:rPr>
          <w:rStyle w:val="normaltextrun"/>
          <w:rFonts w:ascii="Bookman Old Style" w:hAnsi="Bookman Old Style" w:cs="Segoe UI"/>
          <w:i/>
          <w:iCs/>
          <w:color w:val="000000"/>
          <w:sz w:val="22"/>
          <w:szCs w:val="22"/>
        </w:rPr>
        <w:t>Viene meno il riferimento ai termini ordinari di approvazione previsti dal TUEL, in quanto l'incentivazione all’approvazione tempestiva dei documenti di bilancio appare incongrua nel caso in questione, finendo per costituire una penalizzazione ingiustificata e perfino controproducente, privando l’ente di uno strumento di impulso alle attività di recupero fiscale.</w:t>
      </w:r>
      <w:r w:rsidRPr="00A20489">
        <w:rPr>
          <w:rStyle w:val="normaltextrun"/>
          <w:color w:val="000000"/>
          <w:sz w:val="22"/>
          <w:szCs w:val="22"/>
        </w:rPr>
        <w:t> </w:t>
      </w:r>
      <w:r w:rsidRPr="00A20489">
        <w:rPr>
          <w:rStyle w:val="eop"/>
          <w:rFonts w:ascii="Bookman Old Style" w:hAnsi="Bookman Old Style" w:cs="Segoe UI"/>
          <w:color w:val="000000"/>
          <w:sz w:val="22"/>
          <w:szCs w:val="22"/>
        </w:rPr>
        <w:t> </w:t>
      </w:r>
      <w:r w:rsidRPr="00A20489">
        <w:rPr>
          <w:rStyle w:val="normaltextrun"/>
          <w:rFonts w:ascii="Bookman Old Style" w:hAnsi="Bookman Old Style" w:cs="Segoe UI"/>
          <w:i/>
          <w:iCs/>
          <w:color w:val="000000"/>
          <w:sz w:val="22"/>
          <w:szCs w:val="22"/>
        </w:rPr>
        <w:t>Viene inoltre chiarito che le somme che confluiscono nel fondo per l’incentivazione del personale, in quanto aggiuntive ed eventuali, non concorrono al computo ai fini del rispetto dei limiti di legge in materia di salario accessorio</w:t>
      </w:r>
      <w:r w:rsidRPr="00A20489">
        <w:rPr>
          <w:rStyle w:val="normaltextrun"/>
          <w:color w:val="000000"/>
          <w:sz w:val="22"/>
          <w:szCs w:val="22"/>
        </w:rPr>
        <w:t> </w:t>
      </w:r>
      <w:r w:rsidRPr="00A20489">
        <w:rPr>
          <w:rStyle w:val="eop"/>
          <w:rFonts w:ascii="Bookman Old Style" w:hAnsi="Bookman Old Style" w:cs="Segoe UI"/>
          <w:color w:val="000000"/>
          <w:sz w:val="22"/>
          <w:szCs w:val="22"/>
        </w:rPr>
        <w:t> </w:t>
      </w:r>
    </w:p>
    <w:p w14:paraId="628282EB" w14:textId="43E551E1" w:rsidR="00BB51F1" w:rsidRDefault="00BB51F1" w:rsidP="00653808">
      <w:pPr>
        <w:pStyle w:val="paragraph"/>
        <w:spacing w:before="0" w:beforeAutospacing="0" w:after="80" w:afterAutospacing="0" w:line="259" w:lineRule="auto"/>
        <w:jc w:val="both"/>
        <w:textAlignment w:val="baseline"/>
        <w:rPr>
          <w:rStyle w:val="eop"/>
          <w:rFonts w:ascii="Bookman Old Style" w:hAnsi="Bookman Old Style" w:cs="Segoe UI"/>
          <w:color w:val="000000"/>
          <w:sz w:val="22"/>
          <w:szCs w:val="22"/>
        </w:rPr>
      </w:pPr>
    </w:p>
    <w:p w14:paraId="6F28488A" w14:textId="09ED7C22" w:rsidR="00BB51F1" w:rsidRPr="00F56158" w:rsidRDefault="00BB51F1" w:rsidP="00F56158">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8" w:name="_Toc121214249"/>
      <w:r w:rsidRPr="00F56158">
        <w:rPr>
          <w:rFonts w:ascii="Bookman Old Style" w:hAnsi="Bookman Old Style"/>
          <w:b/>
          <w:bCs/>
          <w:color w:val="2F5496" w:themeColor="accent1" w:themeShade="BF"/>
          <w:sz w:val="22"/>
          <w:szCs w:val="22"/>
        </w:rPr>
        <w:t>Accordi capoluoghi-Contributo e estensione dei partecipanti **</w:t>
      </w:r>
      <w:bookmarkEnd w:id="8"/>
    </w:p>
    <w:p w14:paraId="2F744FB3" w14:textId="77777777" w:rsidR="00BB51F1" w:rsidRPr="00A20489" w:rsidRDefault="00BB51F1" w:rsidP="00BB51F1">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146 aggiungere il seguente art. 146 bis</w:t>
      </w:r>
    </w:p>
    <w:p w14:paraId="6DE15806" w14:textId="77777777" w:rsidR="00BB51F1" w:rsidRPr="00A20489" w:rsidRDefault="00BB51F1" w:rsidP="00BB51F1">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All’articolo 43 del decreto legge 17 maggio 2022, n. 50, convertito con modificazioni con legge 15 luglio 2022, n. 91, dopo il comma 7 sono inseriti i seguenti:</w:t>
      </w:r>
      <w:r w:rsidRPr="00A20489">
        <w:rPr>
          <w:rStyle w:val="normaltextrun"/>
          <w:sz w:val="22"/>
          <w:szCs w:val="22"/>
        </w:rPr>
        <w:t>  </w:t>
      </w:r>
      <w:r w:rsidRPr="00A20489">
        <w:rPr>
          <w:rStyle w:val="eop"/>
          <w:rFonts w:ascii="Bookman Old Style" w:hAnsi="Bookman Old Style" w:cs="Segoe UI"/>
          <w:sz w:val="22"/>
          <w:szCs w:val="22"/>
        </w:rPr>
        <w:t> </w:t>
      </w:r>
    </w:p>
    <w:p w14:paraId="78FADB15" w14:textId="77777777" w:rsidR="00BB51F1" w:rsidRPr="00A20489" w:rsidRDefault="00BB51F1" w:rsidP="00BB51F1">
      <w:pPr>
        <w:pStyle w:val="paragraph"/>
        <w:spacing w:before="0" w:beforeAutospacing="0" w:after="80" w:afterAutospacing="0" w:line="259" w:lineRule="auto"/>
        <w:ind w:left="135"/>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“7</w:t>
      </w:r>
      <w:r w:rsidRPr="00A20489">
        <w:rPr>
          <w:rStyle w:val="normaltextrun"/>
          <w:rFonts w:ascii="Bookman Old Style" w:hAnsi="Bookman Old Style" w:cs="Segoe UI"/>
          <w:i/>
          <w:iCs/>
          <w:sz w:val="22"/>
          <w:szCs w:val="22"/>
        </w:rPr>
        <w:t>-bis</w:t>
      </w:r>
      <w:r w:rsidRPr="00A20489">
        <w:rPr>
          <w:rStyle w:val="normaltextrun"/>
          <w:rFonts w:ascii="Bookman Old Style" w:hAnsi="Bookman Old Style" w:cs="Segoe UI"/>
          <w:sz w:val="22"/>
          <w:szCs w:val="22"/>
        </w:rPr>
        <w:t>.</w:t>
      </w:r>
      <w:r w:rsidRPr="00A20489">
        <w:rPr>
          <w:rStyle w:val="normaltextrun"/>
          <w:sz w:val="22"/>
          <w:szCs w:val="22"/>
        </w:rPr>
        <w:t> </w:t>
      </w:r>
      <w:r w:rsidRPr="00A20489">
        <w:rPr>
          <w:rStyle w:val="normaltextrun"/>
          <w:rFonts w:ascii="Bookman Old Style" w:hAnsi="Bookman Old Style" w:cs="Segoe UI"/>
          <w:sz w:val="22"/>
          <w:szCs w:val="22"/>
        </w:rPr>
        <w:t xml:space="preserve"> Ai comuni capoluogo di provincia che sottoscrivono l’accordo di cui al comma 2 è riconosciuto un contributo non superiore a complessivi 163 milioni di euro per il periodo 2023-2032, da determinarsi e da ripartire in rate non superiori a complessivi 16,3 milioni di euro annui, mediante decreto del Ministero dell’interno, di concerto con il Ministero dell’economia e delle finanze, previa intesa presso la Conferenza Stato-città e autonomie locali, da</w:t>
      </w:r>
      <w:r w:rsidRPr="00A20489">
        <w:rPr>
          <w:rStyle w:val="normaltextrun"/>
          <w:sz w:val="22"/>
          <w:szCs w:val="22"/>
        </w:rPr>
        <w:t> </w:t>
      </w:r>
      <w:r w:rsidRPr="00A20489">
        <w:rPr>
          <w:rStyle w:val="normaltextrun"/>
          <w:rFonts w:ascii="Bookman Old Style" w:hAnsi="Bookman Old Style" w:cs="Segoe UI"/>
          <w:sz w:val="22"/>
          <w:szCs w:val="22"/>
        </w:rPr>
        <w:t xml:space="preserve"> emanarsi entro il 28 febbraio 2023, sulla base dell’onere annuale sostenuto dai comuni sottoscrittori dell’accordo derivante dagli obblighi di ripiano dei rispettivi disavanzi e dalle quote di ammortamento dei debiti finanziari al 31 dicembre 2021, al netto della quota capitale delle anticipazioni di liquidità e di cassa, sulla base di specifica attestazione da parte di ciascun ente beneficiario, a firma del legale rappresentante dell’ente, nonché tenendo conto delle capacità fiscali di ciascun ente. Con riferimento a ciascun ente beneficiario, i contributi di cui al presente comma non possono complessivamente eccedere un importo pari al 75% dell’ammontare del disavanzo 2020, eventualmente aumentato degli ulteriori obblighi di ripiano successivamente mersi e ridotto degli eventuali contributi indicati all’articolo 1, comma 568, della legge 30 dicembre 2021, n. 234, assegnati alla data del 31 dicembre 2022.</w:t>
      </w:r>
      <w:r w:rsidRPr="00A20489">
        <w:rPr>
          <w:rStyle w:val="eop"/>
          <w:rFonts w:ascii="Bookman Old Style" w:hAnsi="Bookman Old Style" w:cs="Segoe UI"/>
          <w:sz w:val="22"/>
          <w:szCs w:val="22"/>
        </w:rPr>
        <w:t> </w:t>
      </w:r>
    </w:p>
    <w:p w14:paraId="4AB3AD0A" w14:textId="4DC84604" w:rsidR="00BB51F1" w:rsidRPr="00A20489" w:rsidRDefault="00BB51F1" w:rsidP="00BB51F1">
      <w:pPr>
        <w:pStyle w:val="paragraph"/>
        <w:spacing w:before="0" w:beforeAutospacing="0" w:after="80" w:afterAutospacing="0" w:line="259" w:lineRule="auto"/>
        <w:ind w:left="135"/>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7-</w:t>
      </w:r>
      <w:r w:rsidRPr="00A20489">
        <w:rPr>
          <w:rStyle w:val="normaltextrun"/>
          <w:rFonts w:ascii="Bookman Old Style" w:hAnsi="Bookman Old Style" w:cs="Segoe UI"/>
          <w:i/>
          <w:iCs/>
          <w:sz w:val="22"/>
          <w:szCs w:val="22"/>
        </w:rPr>
        <w:t>ter</w:t>
      </w:r>
      <w:r w:rsidRPr="00A20489">
        <w:rPr>
          <w:rStyle w:val="normaltextrun"/>
          <w:rFonts w:ascii="Bookman Old Style" w:hAnsi="Bookman Old Style" w:cs="Segoe UI"/>
          <w:sz w:val="22"/>
          <w:szCs w:val="22"/>
        </w:rPr>
        <w:t>. Con decreto del Ministero dell’Interno, di concerto con il Ministero dell’Economia e delle finanze, da emanarsi entro il 28 febbraio 2023 previo accordo presso la Conferenza Stato-città e autonomie locali sono determinati i tempi e le modalità di presentazione di richieste di accordo da parte dei comuni capoluogo di provincia, sulla base delle medesime finalità e dei medesimi criteri di cui ai commi da 2 a 7, che non abbiano partecipato al processo di concertazione nel corso del 2022 o non lo abbiano concluso. Il decreto di cui al periodo precedente determina una durata del procedimento di verifica delle proposte di accordo in un arco temporale non superiore a quattro mesi. Ai fini dell’accesso all’accordo di cui al presente comma si fa riferimento ai dati del rendiconto della gestione relativo all’esercizio 2020. L’assenza del rendiconto 2020, definitivamente approvato, nella Banca dati delle amministrazioni pubbliche (BDAP) alla data del 31 dicembre 2022 preclude la possibilità di accesso. Il tavolo tecnico di cui al comma 3 concorre alla definizione degli accordi di cui al presente comma. Ai comuni che sottoscriveranno l’accordo in questione è riconosciuto un contributo non superiore a complessivi 187 milioni di euro per il periodo 2023-2032, da ripartire in rate non superiori a complessivi 18,7 milioni di euro annui, da determinarsi entro 60 giorni dalla data di sottoscrizione dei nuovi accordi, sulla base dei medesimi criteri e modalità di cui al comma 7-</w:t>
      </w:r>
      <w:r w:rsidRPr="00A20489">
        <w:rPr>
          <w:rStyle w:val="normaltextrun"/>
          <w:rFonts w:ascii="Bookman Old Style" w:hAnsi="Bookman Old Style" w:cs="Segoe UI"/>
          <w:i/>
          <w:iCs/>
          <w:sz w:val="22"/>
          <w:szCs w:val="22"/>
        </w:rPr>
        <w:t>bis.</w:t>
      </w:r>
      <w:r w:rsidR="00901A9A">
        <w:rPr>
          <w:rStyle w:val="normaltextrun"/>
          <w:rFonts w:ascii="Bookman Old Style" w:hAnsi="Bookman Old Style" w:cs="Segoe UI"/>
          <w:i/>
          <w:iCs/>
          <w:sz w:val="22"/>
          <w:szCs w:val="22"/>
        </w:rPr>
        <w:t xml:space="preserve"> </w:t>
      </w:r>
    </w:p>
    <w:p w14:paraId="6A022E93" w14:textId="77777777" w:rsidR="00BB51F1" w:rsidRPr="00A20489" w:rsidRDefault="00BB51F1" w:rsidP="00BB51F1">
      <w:pPr>
        <w:pStyle w:val="paragraph"/>
        <w:spacing w:before="0" w:beforeAutospacing="0" w:after="80" w:afterAutospacing="0" w:line="259" w:lineRule="auto"/>
        <w:ind w:left="135"/>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7-</w:t>
      </w:r>
      <w:r w:rsidRPr="00A20489">
        <w:rPr>
          <w:rStyle w:val="normaltextrun"/>
          <w:rFonts w:ascii="Bookman Old Style" w:hAnsi="Bookman Old Style" w:cs="Segoe UI"/>
          <w:i/>
          <w:iCs/>
          <w:sz w:val="22"/>
          <w:szCs w:val="22"/>
        </w:rPr>
        <w:t>quater</w:t>
      </w:r>
      <w:r w:rsidRPr="00A20489">
        <w:rPr>
          <w:rStyle w:val="normaltextrun"/>
          <w:rFonts w:ascii="Bookman Old Style" w:hAnsi="Bookman Old Style" w:cs="Segoe UI"/>
          <w:sz w:val="22"/>
          <w:szCs w:val="22"/>
        </w:rPr>
        <w:t>. Ai soli fini dell’applicazione del comma 7-</w:t>
      </w:r>
      <w:r w:rsidRPr="00A20489">
        <w:rPr>
          <w:rStyle w:val="normaltextrun"/>
          <w:rFonts w:ascii="Bookman Old Style" w:hAnsi="Bookman Old Style" w:cs="Segoe UI"/>
          <w:i/>
          <w:iCs/>
          <w:sz w:val="22"/>
          <w:szCs w:val="22"/>
        </w:rPr>
        <w:t>ter</w:t>
      </w:r>
      <w:r w:rsidRPr="00A20489">
        <w:rPr>
          <w:rStyle w:val="normaltextrun"/>
          <w:rFonts w:ascii="Bookman Old Style" w:hAnsi="Bookman Old Style" w:cs="Segoe UI"/>
          <w:sz w:val="22"/>
          <w:szCs w:val="22"/>
        </w:rPr>
        <w:t>, si tiene conto delle seguenti modifiche ai termini indicati nel comma 5-</w:t>
      </w:r>
      <w:r w:rsidRPr="00A20489">
        <w:rPr>
          <w:rStyle w:val="normaltextrun"/>
          <w:rFonts w:ascii="Bookman Old Style" w:hAnsi="Bookman Old Style" w:cs="Segoe UI"/>
          <w:i/>
          <w:iCs/>
          <w:sz w:val="22"/>
          <w:szCs w:val="22"/>
        </w:rPr>
        <w:t>bis</w:t>
      </w:r>
      <w:r w:rsidRPr="00A20489">
        <w:rPr>
          <w:rStyle w:val="normaltextrun"/>
          <w:rFonts w:ascii="Bookman Old Style" w:hAnsi="Bookman Old Style" w:cs="Segoe UI"/>
          <w:sz w:val="22"/>
          <w:szCs w:val="22"/>
        </w:rPr>
        <w:t>:</w:t>
      </w:r>
      <w:r w:rsidRPr="00A20489">
        <w:rPr>
          <w:rStyle w:val="eop"/>
          <w:rFonts w:ascii="Bookman Old Style" w:hAnsi="Bookman Old Style" w:cs="Segoe UI"/>
          <w:sz w:val="22"/>
          <w:szCs w:val="22"/>
        </w:rPr>
        <w:t> </w:t>
      </w:r>
    </w:p>
    <w:p w14:paraId="70C1A45A" w14:textId="77777777" w:rsidR="00BB51F1" w:rsidRPr="00A20489" w:rsidRDefault="00BB51F1" w:rsidP="00BB51F1">
      <w:pPr>
        <w:pStyle w:val="paragraph"/>
        <w:numPr>
          <w:ilvl w:val="0"/>
          <w:numId w:val="10"/>
        </w:numPr>
        <w:spacing w:before="0" w:beforeAutospacing="0" w:after="80" w:afterAutospacing="0" w:line="259" w:lineRule="auto"/>
        <w:ind w:left="855" w:firstLine="0"/>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le procedure oggetto di sospensione di termini sono quelle in corso al 31 dicembre 2022;</w:t>
      </w:r>
      <w:r w:rsidRPr="00A20489">
        <w:rPr>
          <w:rStyle w:val="eop"/>
          <w:rFonts w:ascii="Bookman Old Style" w:hAnsi="Bookman Old Style" w:cs="Segoe UI"/>
          <w:sz w:val="22"/>
          <w:szCs w:val="22"/>
        </w:rPr>
        <w:t> </w:t>
      </w:r>
    </w:p>
    <w:p w14:paraId="4FCB0090" w14:textId="77777777" w:rsidR="00BB51F1" w:rsidRPr="00A20489" w:rsidRDefault="00BB51F1" w:rsidP="00BB51F1">
      <w:pPr>
        <w:pStyle w:val="paragraph"/>
        <w:numPr>
          <w:ilvl w:val="0"/>
          <w:numId w:val="11"/>
        </w:numPr>
        <w:spacing w:before="0" w:beforeAutospacing="0" w:after="80" w:afterAutospacing="0" w:line="259" w:lineRule="auto"/>
        <w:ind w:left="855" w:firstLine="0"/>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il termine di 120 giorni decorre dalla data di sottoscrizione dell’accordo;</w:t>
      </w:r>
      <w:r w:rsidRPr="00A20489">
        <w:rPr>
          <w:rStyle w:val="eop"/>
          <w:rFonts w:ascii="Bookman Old Style" w:hAnsi="Bookman Old Style" w:cs="Segoe UI"/>
          <w:sz w:val="22"/>
          <w:szCs w:val="22"/>
        </w:rPr>
        <w:t> </w:t>
      </w:r>
    </w:p>
    <w:p w14:paraId="39E1757F" w14:textId="77777777" w:rsidR="00BB51F1" w:rsidRPr="00A20489" w:rsidRDefault="00BB51F1" w:rsidP="00BB51F1">
      <w:pPr>
        <w:pStyle w:val="paragraph"/>
        <w:numPr>
          <w:ilvl w:val="0"/>
          <w:numId w:val="12"/>
        </w:numPr>
        <w:spacing w:before="0" w:beforeAutospacing="0" w:after="80" w:afterAutospacing="0" w:line="259" w:lineRule="auto"/>
        <w:ind w:left="855" w:firstLine="0"/>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il termine indicato nel 31 dicembre 2022 dal comma 5-</w:t>
      </w:r>
      <w:r w:rsidRPr="00A20489">
        <w:rPr>
          <w:rStyle w:val="normaltextrun"/>
          <w:rFonts w:ascii="Bookman Old Style" w:hAnsi="Bookman Old Style" w:cs="Segoe UI"/>
          <w:i/>
          <w:iCs/>
          <w:sz w:val="22"/>
          <w:szCs w:val="22"/>
        </w:rPr>
        <w:t>bis</w:t>
      </w:r>
      <w:r w:rsidRPr="00A20489">
        <w:rPr>
          <w:rStyle w:val="normaltextrun"/>
          <w:rFonts w:ascii="Bookman Old Style" w:hAnsi="Bookman Old Style" w:cs="Segoe UI"/>
          <w:sz w:val="22"/>
          <w:szCs w:val="22"/>
        </w:rPr>
        <w:t xml:space="preserve"> è fissato al 15 luglio 2023.</w:t>
      </w:r>
      <w:r w:rsidRPr="00A20489">
        <w:rPr>
          <w:rStyle w:val="eop"/>
          <w:rFonts w:ascii="Bookman Old Style" w:hAnsi="Bookman Old Style" w:cs="Segoe UI"/>
          <w:sz w:val="22"/>
          <w:szCs w:val="22"/>
        </w:rPr>
        <w:t> </w:t>
      </w:r>
    </w:p>
    <w:p w14:paraId="1965532B" w14:textId="77777777" w:rsidR="00BB51F1" w:rsidRPr="00A20489" w:rsidRDefault="00BB51F1" w:rsidP="00BB51F1">
      <w:pPr>
        <w:pStyle w:val="paragraph"/>
        <w:spacing w:before="0" w:beforeAutospacing="0" w:after="80" w:afterAutospacing="0" w:line="259" w:lineRule="auto"/>
        <w:ind w:left="135"/>
        <w:jc w:val="both"/>
        <w:textAlignment w:val="baseline"/>
        <w:rPr>
          <w:rStyle w:val="eop"/>
          <w:rFonts w:ascii="Bookman Old Style" w:hAnsi="Bookman Old Style" w:cs="Segoe UI"/>
          <w:sz w:val="22"/>
          <w:szCs w:val="22"/>
        </w:rPr>
      </w:pPr>
      <w:r w:rsidRPr="00A20489">
        <w:rPr>
          <w:rStyle w:val="normaltextrun"/>
          <w:rFonts w:ascii="Bookman Old Style" w:hAnsi="Bookman Old Style" w:cs="Segoe UI"/>
          <w:sz w:val="22"/>
          <w:szCs w:val="22"/>
        </w:rPr>
        <w:t>7</w:t>
      </w:r>
      <w:r w:rsidRPr="00A20489">
        <w:rPr>
          <w:rStyle w:val="normaltextrun"/>
          <w:rFonts w:ascii="Bookman Old Style" w:hAnsi="Bookman Old Style" w:cs="Segoe UI"/>
          <w:i/>
          <w:iCs/>
          <w:sz w:val="22"/>
          <w:szCs w:val="22"/>
        </w:rPr>
        <w:t xml:space="preserve">-quinquies. </w:t>
      </w:r>
      <w:r w:rsidRPr="00A20489">
        <w:rPr>
          <w:rStyle w:val="normaltextrun"/>
          <w:rFonts w:ascii="Bookman Old Style" w:hAnsi="Bookman Old Style" w:cs="Segoe UI"/>
          <w:sz w:val="22"/>
          <w:szCs w:val="22"/>
        </w:rPr>
        <w:t>I comuni beneficiari dei contributi di cui ai commi 7-</w:t>
      </w:r>
      <w:r w:rsidRPr="00A20489">
        <w:rPr>
          <w:rStyle w:val="normaltextrun"/>
          <w:rFonts w:ascii="Bookman Old Style" w:hAnsi="Bookman Old Style" w:cs="Segoe UI"/>
          <w:i/>
          <w:iCs/>
          <w:sz w:val="22"/>
          <w:szCs w:val="22"/>
        </w:rPr>
        <w:t>bis</w:t>
      </w:r>
      <w:r w:rsidRPr="00A20489">
        <w:rPr>
          <w:rStyle w:val="normaltextrun"/>
          <w:rFonts w:ascii="Bookman Old Style" w:hAnsi="Bookman Old Style" w:cs="Segoe UI"/>
          <w:sz w:val="22"/>
          <w:szCs w:val="22"/>
        </w:rPr>
        <w:t xml:space="preserve"> provvedono a rimodulare le misure concordate nell’ambito dell’accordo sottoscritto in occasione della prima verifica periodica di cui al comma 6, assicurando che almeno un terzo del contributo produca un effetto di accorciamento dei tempi originariamente concordati per il conseguimento dell’equilibrio finanziario strutturale dell’ente.</w:t>
      </w:r>
      <w:r w:rsidRPr="00A20489">
        <w:rPr>
          <w:rStyle w:val="eop"/>
          <w:rFonts w:ascii="Bookman Old Style" w:hAnsi="Bookman Old Style" w:cs="Segoe UI"/>
          <w:sz w:val="22"/>
          <w:szCs w:val="22"/>
        </w:rPr>
        <w:t> </w:t>
      </w:r>
    </w:p>
    <w:p w14:paraId="5F345DC7" w14:textId="77777777" w:rsidR="00BB51F1" w:rsidRPr="00A20489" w:rsidRDefault="00BB51F1" w:rsidP="00BB51F1">
      <w:pPr>
        <w:pStyle w:val="paragraph"/>
        <w:spacing w:before="0" w:beforeAutospacing="0" w:after="80" w:afterAutospacing="0" w:line="259" w:lineRule="auto"/>
        <w:ind w:left="135"/>
        <w:jc w:val="both"/>
        <w:textAlignment w:val="baseline"/>
        <w:rPr>
          <w:rFonts w:ascii="Bookman Old Style" w:hAnsi="Bookman Old Style" w:cs="Segoe UI"/>
          <w:sz w:val="22"/>
          <w:szCs w:val="22"/>
        </w:rPr>
      </w:pPr>
    </w:p>
    <w:p w14:paraId="76FE8E3B" w14:textId="77777777" w:rsidR="00BB51F1" w:rsidRPr="00A20489" w:rsidRDefault="00BB51F1" w:rsidP="00BB51F1">
      <w:pPr>
        <w:pStyle w:val="paragraph"/>
        <w:spacing w:before="0" w:beforeAutospacing="0" w:after="80" w:afterAutospacing="0" w:line="259" w:lineRule="auto"/>
        <w:jc w:val="center"/>
        <w:textAlignment w:val="baseline"/>
        <w:rPr>
          <w:rFonts w:ascii="Bookman Old Style" w:hAnsi="Bookman Old Style" w:cs="Segoe UI"/>
          <w:sz w:val="22"/>
          <w:szCs w:val="22"/>
        </w:rPr>
      </w:pPr>
      <w:r w:rsidRPr="00A20489">
        <w:rPr>
          <w:rStyle w:val="normaltextrun"/>
          <w:rFonts w:ascii="Bookman Old Style" w:hAnsi="Bookman Old Style" w:cs="Segoe UI"/>
          <w:b/>
          <w:bCs/>
          <w:color w:val="000000"/>
          <w:sz w:val="22"/>
          <w:szCs w:val="22"/>
        </w:rPr>
        <w:t>Motivazione</w:t>
      </w:r>
      <w:r w:rsidRPr="00A20489">
        <w:rPr>
          <w:rStyle w:val="normaltextrun"/>
          <w:color w:val="000000"/>
          <w:sz w:val="22"/>
          <w:szCs w:val="22"/>
        </w:rPr>
        <w:t>  </w:t>
      </w:r>
      <w:r w:rsidRPr="00A20489">
        <w:rPr>
          <w:rStyle w:val="eop"/>
          <w:rFonts w:ascii="Bookman Old Style" w:hAnsi="Bookman Old Style" w:cs="Segoe UI"/>
          <w:color w:val="000000"/>
          <w:sz w:val="22"/>
          <w:szCs w:val="22"/>
        </w:rPr>
        <w:t> </w:t>
      </w:r>
    </w:p>
    <w:p w14:paraId="1EA35FB4" w14:textId="77777777" w:rsidR="00BB51F1" w:rsidRPr="00A20489" w:rsidRDefault="00BB51F1" w:rsidP="00BB51F1">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color w:val="000000"/>
          <w:sz w:val="22"/>
          <w:szCs w:val="22"/>
        </w:rPr>
        <w:t>L’articolo 43 del dl n. 50/2022 introduce un importante dispositivo di impulso alle misure di risanamento finanziario dei Comuni capoluogo di provincia in condizioni di significativo disavanzo (oltre i 500 euro per abitante), attraverso la sottoscrizione di accordi con il Governo basati sull’applicazione opportunamente adattata alle specificità di ciascun ente del ventaglio di misure già previsto dalla legge di bilancio 2022 per le grandi città (commi 567 e ss. della legge 234/2021.</w:t>
      </w:r>
      <w:r w:rsidRPr="00A20489">
        <w:rPr>
          <w:rStyle w:val="normaltextrun"/>
          <w:i/>
          <w:iCs/>
          <w:color w:val="000000"/>
          <w:sz w:val="22"/>
          <w:szCs w:val="22"/>
        </w:rPr>
        <w:t> </w:t>
      </w:r>
      <w:r w:rsidRPr="00A20489">
        <w:rPr>
          <w:rStyle w:val="normaltextrun"/>
          <w:color w:val="000000"/>
          <w:sz w:val="22"/>
          <w:szCs w:val="22"/>
        </w:rPr>
        <w:t> </w:t>
      </w:r>
      <w:r w:rsidRPr="00A20489">
        <w:rPr>
          <w:rStyle w:val="eop"/>
          <w:rFonts w:ascii="Bookman Old Style" w:hAnsi="Bookman Old Style" w:cs="Segoe UI"/>
          <w:color w:val="000000"/>
          <w:sz w:val="22"/>
          <w:szCs w:val="22"/>
        </w:rPr>
        <w:t> </w:t>
      </w:r>
    </w:p>
    <w:p w14:paraId="7C9B3003" w14:textId="4796B88B" w:rsidR="00BB51F1" w:rsidRPr="00A20489" w:rsidRDefault="00BB51F1" w:rsidP="00BB51F1">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color w:val="000000"/>
          <w:sz w:val="22"/>
          <w:szCs w:val="22"/>
        </w:rPr>
        <w:t xml:space="preserve">Le modifiche qui proposte puntano, in primo luogo, </w:t>
      </w:r>
      <w:r w:rsidRPr="00A20489">
        <w:rPr>
          <w:rStyle w:val="normaltextrun"/>
          <w:rFonts w:ascii="Bookman Old Style" w:hAnsi="Bookman Old Style" w:cs="Segoe UI"/>
          <w:i/>
          <w:iCs/>
          <w:sz w:val="22"/>
          <w:szCs w:val="22"/>
        </w:rPr>
        <w:t>ad istituire anche per questi enti un contributo economico a sostegno del risanamento finanziario</w:t>
      </w:r>
      <w:r w:rsidRPr="00A20489">
        <w:rPr>
          <w:rStyle w:val="normaltextrun"/>
          <w:rFonts w:ascii="Bookman Old Style" w:hAnsi="Bookman Old Style" w:cs="Segoe UI"/>
          <w:i/>
          <w:iCs/>
          <w:color w:val="000000"/>
          <w:sz w:val="22"/>
          <w:szCs w:val="22"/>
          <w:shd w:val="clear" w:color="auto" w:fill="FFFFFF"/>
        </w:rPr>
        <w:t>, per un massimo di complessivi 350 milioni rateizzato su un arco di tempo decennale, che costituirebbe un utile incentivo al dispiegamento delle ulteriori azioni di risanamento previste dalla norma, in coerenza con quanto disposto a favore dei capoluoghi di Città metropolitana di cui ai commi 567 e seguenti della Legge di bilancio 2022. Il contributo è articolato in due quote, di cui la prima (</w:t>
      </w:r>
      <w:r w:rsidRPr="00A20489">
        <w:rPr>
          <w:rStyle w:val="normaltextrun"/>
          <w:rFonts w:ascii="Bookman Old Style" w:hAnsi="Bookman Old Style" w:cs="Segoe UI"/>
          <w:b/>
          <w:bCs/>
          <w:i/>
          <w:iCs/>
          <w:color w:val="000000"/>
          <w:sz w:val="22"/>
          <w:szCs w:val="22"/>
          <w:shd w:val="clear" w:color="auto" w:fill="FFFFFF"/>
        </w:rPr>
        <w:t>comma 7-bis</w:t>
      </w:r>
      <w:r w:rsidRPr="00A20489">
        <w:rPr>
          <w:rStyle w:val="normaltextrun"/>
          <w:rFonts w:ascii="Bookman Old Style" w:hAnsi="Bookman Old Style" w:cs="Segoe UI"/>
          <w:i/>
          <w:iCs/>
          <w:color w:val="000000"/>
          <w:sz w:val="22"/>
          <w:szCs w:val="22"/>
          <w:shd w:val="clear" w:color="auto" w:fill="FFFFFF"/>
        </w:rPr>
        <w:t xml:space="preserve">) ammonta ad un massimo di 163 milioni di euro e riguarda gli enti che hanno aderito alla procedura inizialmente attivata dall’articolo 43 e che sono in procinto di sottoscrivere l’accordo a seguito di conclusione positiva dell’istruttoria riguardante le misure di risanamento previste da ciascun ente. </w:t>
      </w:r>
      <w:r w:rsidRPr="00A20489">
        <w:rPr>
          <w:rStyle w:val="normaltextrun"/>
          <w:i/>
          <w:iCs/>
          <w:color w:val="000000"/>
          <w:sz w:val="22"/>
          <w:szCs w:val="22"/>
          <w:shd w:val="clear" w:color="auto" w:fill="FFFFFF"/>
        </w:rPr>
        <w:t> </w:t>
      </w:r>
      <w:r w:rsidRPr="00A20489">
        <w:rPr>
          <w:rStyle w:val="normaltextrun"/>
          <w:rFonts w:ascii="Bookman Old Style" w:hAnsi="Bookman Old Style" w:cs="Segoe UI"/>
          <w:i/>
          <w:iCs/>
          <w:color w:val="000000"/>
          <w:sz w:val="22"/>
          <w:szCs w:val="22"/>
          <w:shd w:val="clear" w:color="auto" w:fill="FFFFFF"/>
        </w:rPr>
        <w:t>Il contributo tiene conto sia delle capacità fiscali dell’ente che della dimensione del disavanzo oggetto dell’accordo e non può superare il valore del 75% del disavanzo stesso</w:t>
      </w:r>
      <w:r w:rsidR="00A13860">
        <w:rPr>
          <w:rStyle w:val="normaltextrun"/>
          <w:rFonts w:ascii="Bookman Old Style" w:hAnsi="Bookman Old Style" w:cs="Segoe UI"/>
          <w:i/>
          <w:iCs/>
          <w:color w:val="000000"/>
          <w:sz w:val="22"/>
          <w:szCs w:val="22"/>
          <w:shd w:val="clear" w:color="auto" w:fill="FFFFFF"/>
        </w:rPr>
        <w:t xml:space="preserve"> e il </w:t>
      </w:r>
      <w:r w:rsidRPr="00A20489">
        <w:rPr>
          <w:rStyle w:val="normaltextrun"/>
          <w:rFonts w:ascii="Bookman Old Style" w:hAnsi="Bookman Old Style" w:cs="Segoe UI"/>
          <w:i/>
          <w:iCs/>
          <w:color w:val="000000"/>
          <w:sz w:val="22"/>
          <w:szCs w:val="22"/>
          <w:shd w:val="clear" w:color="auto" w:fill="FFFFFF"/>
        </w:rPr>
        <w:t>suo impiego deve concorrere prioritariamente all’accorciamento dei tempi del percorso di risanamento già concordato (</w:t>
      </w:r>
      <w:r w:rsidRPr="00A13860">
        <w:rPr>
          <w:rStyle w:val="normaltextrun"/>
          <w:rFonts w:ascii="Bookman Old Style" w:hAnsi="Bookman Old Style" w:cs="Segoe UI"/>
          <w:b/>
          <w:bCs/>
          <w:i/>
          <w:iCs/>
          <w:color w:val="000000"/>
          <w:sz w:val="22"/>
          <w:szCs w:val="22"/>
          <w:shd w:val="clear" w:color="auto" w:fill="FFFFFF"/>
        </w:rPr>
        <w:t>comma 7-quinquies</w:t>
      </w:r>
      <w:r w:rsidR="00A13860" w:rsidRPr="00A13860">
        <w:rPr>
          <w:rStyle w:val="normaltextrun"/>
          <w:rFonts w:ascii="Bookman Old Style" w:hAnsi="Bookman Old Style" w:cs="Segoe UI"/>
          <w:b/>
          <w:bCs/>
          <w:i/>
          <w:iCs/>
          <w:color w:val="000000"/>
          <w:sz w:val="22"/>
          <w:szCs w:val="22"/>
          <w:shd w:val="clear" w:color="auto" w:fill="FFFFFF"/>
        </w:rPr>
        <w:t>)</w:t>
      </w:r>
      <w:r w:rsidRPr="00A20489">
        <w:rPr>
          <w:rStyle w:val="normaltextrun"/>
          <w:rFonts w:ascii="Bookman Old Style" w:hAnsi="Bookman Old Style" w:cs="Segoe UI"/>
          <w:i/>
          <w:iCs/>
          <w:color w:val="000000"/>
          <w:sz w:val="22"/>
          <w:szCs w:val="22"/>
          <w:shd w:val="clear" w:color="auto" w:fill="FFFFFF"/>
        </w:rPr>
        <w:t>.</w:t>
      </w:r>
      <w:r w:rsidR="00901A9A">
        <w:rPr>
          <w:rStyle w:val="normaltextrun"/>
          <w:rFonts w:ascii="Bookman Old Style" w:hAnsi="Bookman Old Style" w:cs="Segoe UI"/>
          <w:i/>
          <w:iCs/>
          <w:color w:val="000000"/>
          <w:sz w:val="22"/>
          <w:szCs w:val="22"/>
          <w:shd w:val="clear" w:color="auto" w:fill="FFFFFF"/>
        </w:rPr>
        <w:t xml:space="preserve"> </w:t>
      </w:r>
    </w:p>
    <w:p w14:paraId="688DE90F" w14:textId="13F3EEC5" w:rsidR="00BB51F1" w:rsidRPr="00A20489" w:rsidRDefault="00BB51F1" w:rsidP="00BB51F1">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In secondo luogo (</w:t>
      </w:r>
      <w:r w:rsidRPr="00A20489">
        <w:rPr>
          <w:rStyle w:val="normaltextrun"/>
          <w:rFonts w:ascii="Bookman Old Style" w:hAnsi="Bookman Old Style" w:cs="Segoe UI"/>
          <w:b/>
          <w:bCs/>
          <w:i/>
          <w:iCs/>
          <w:sz w:val="22"/>
          <w:szCs w:val="22"/>
        </w:rPr>
        <w:t>comma 7-ter</w:t>
      </w:r>
      <w:r w:rsidRPr="00A20489">
        <w:rPr>
          <w:rStyle w:val="normaltextrun"/>
          <w:rFonts w:ascii="Bookman Old Style" w:hAnsi="Bookman Old Style" w:cs="Segoe UI"/>
          <w:i/>
          <w:iCs/>
          <w:sz w:val="22"/>
          <w:szCs w:val="22"/>
        </w:rPr>
        <w:t>), si propone di ampliare le possibilità di accesso al dispositivo di accordo per il riequilibrio ad ulteriori capoluoghi che nella prima tornata non hanno ritenuto di accedervi o che non hanno concluso l’accordo, pur essendo nelle condizioni di cui all’articolo 43. La novità del dispositivo introdotto con il dl 50 ha comportato valutazioni complesse che possono essere ora riviste, anche sulla base dell’incentivo costituito dal contributo economico che si propone di istituire. Tale ampliamento è affidato ad un provvedimento ministeriale da attivarsi entro il 28 febbraio 2023 e da chiudersi entro il mese di giugno, basato sugli stessi criteri e modalità già normati con i commi da 2 a 7, art. 43, del dl 50/2022). Il contributo previsto per questi enti ammonta a 187 milioni di euro ed è regolato dagli stessi criteri di cui al punto precedente.</w:t>
      </w:r>
      <w:r w:rsidR="00901A9A">
        <w:rPr>
          <w:rStyle w:val="normaltextrun"/>
          <w:rFonts w:ascii="Bookman Old Style" w:hAnsi="Bookman Old Style" w:cs="Segoe UI"/>
          <w:i/>
          <w:iCs/>
          <w:sz w:val="22"/>
          <w:szCs w:val="22"/>
        </w:rPr>
        <w:t xml:space="preserve"> </w:t>
      </w:r>
    </w:p>
    <w:p w14:paraId="2732DBF6" w14:textId="77777777" w:rsidR="00BB51F1" w:rsidRPr="00A20489" w:rsidRDefault="00BB51F1" w:rsidP="00BB51F1">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Le misure massime delle due quote di contributo sono state determinate in modo da poter erogare importi equivalenti a ciascun ente interessato, in rapporto alla dimensione del rispettivo fabbisogno.</w:t>
      </w:r>
      <w:r w:rsidRPr="00A20489">
        <w:rPr>
          <w:rStyle w:val="eop"/>
          <w:rFonts w:ascii="Bookman Old Style" w:hAnsi="Bookman Old Style" w:cs="Segoe UI"/>
          <w:sz w:val="22"/>
          <w:szCs w:val="22"/>
        </w:rPr>
        <w:t> </w:t>
      </w:r>
    </w:p>
    <w:p w14:paraId="652D3B57" w14:textId="77777777" w:rsidR="00BB51F1" w:rsidRPr="00A20489" w:rsidRDefault="00BB51F1" w:rsidP="00BB51F1">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 xml:space="preserve">Con il comma </w:t>
      </w:r>
      <w:r w:rsidRPr="00A20489">
        <w:rPr>
          <w:rStyle w:val="normaltextrun"/>
          <w:rFonts w:ascii="Bookman Old Style" w:hAnsi="Bookman Old Style" w:cs="Segoe UI"/>
          <w:b/>
          <w:bCs/>
          <w:i/>
          <w:iCs/>
          <w:sz w:val="22"/>
          <w:szCs w:val="22"/>
        </w:rPr>
        <w:t>7-quater</w:t>
      </w:r>
      <w:r w:rsidRPr="00A20489">
        <w:rPr>
          <w:rStyle w:val="normaltextrun"/>
          <w:rFonts w:ascii="Bookman Old Style" w:hAnsi="Bookman Old Style" w:cs="Segoe UI"/>
          <w:i/>
          <w:iCs/>
          <w:sz w:val="22"/>
          <w:szCs w:val="22"/>
        </w:rPr>
        <w:t xml:space="preserve"> vengono adattati ai tempi di determinazione dei nuovi accordi i termini di sospensione delle eventuali procedure di presentazione dei piani di riequilibrio (predissesti) e delle ipotesi di bilancio stabilmente riequilibrato (dissesti) che coinvolgano gli enti sottoscrittori degli accordi. Il comma </w:t>
      </w:r>
      <w:r w:rsidRPr="00A20489">
        <w:rPr>
          <w:rStyle w:val="normaltextrun"/>
          <w:rFonts w:ascii="Bookman Old Style" w:hAnsi="Bookman Old Style" w:cs="Segoe UI"/>
          <w:b/>
          <w:bCs/>
          <w:i/>
          <w:iCs/>
          <w:sz w:val="22"/>
          <w:szCs w:val="22"/>
        </w:rPr>
        <w:t>7-quinquies</w:t>
      </w:r>
      <w:r w:rsidRPr="00A20489">
        <w:rPr>
          <w:rStyle w:val="normaltextrun"/>
          <w:rFonts w:ascii="Bookman Old Style" w:hAnsi="Bookman Old Style" w:cs="Segoe UI"/>
          <w:i/>
          <w:iCs/>
          <w:sz w:val="22"/>
          <w:szCs w:val="22"/>
        </w:rPr>
        <w:t>, infine, dispone che i capoluoghi già sottoscrittori degli accordi concordati nel corso del 2022 rimodulare gli interventi di risanamento in occasione della prima verifica del rispetto dell’accordo stesso.</w:t>
      </w:r>
      <w:r w:rsidRPr="00A20489">
        <w:rPr>
          <w:rStyle w:val="eop"/>
          <w:rFonts w:ascii="Bookman Old Style" w:hAnsi="Bookman Old Style" w:cs="Segoe UI"/>
          <w:sz w:val="22"/>
          <w:szCs w:val="22"/>
        </w:rPr>
        <w:t> </w:t>
      </w:r>
    </w:p>
    <w:p w14:paraId="5412B9AA" w14:textId="71FB8CE3" w:rsidR="00552E2F" w:rsidRDefault="00552E2F">
      <w:pPr>
        <w:rPr>
          <w:rFonts w:ascii="Bookman Old Style" w:eastAsiaTheme="majorEastAsia" w:hAnsi="Bookman Old Style" w:cstheme="majorBidi"/>
          <w:b/>
          <w:bCs/>
          <w:color w:val="2F5496" w:themeColor="accent1" w:themeShade="BF"/>
        </w:rPr>
      </w:pPr>
    </w:p>
    <w:p w14:paraId="4D8E4AF8" w14:textId="23A3DA08" w:rsidR="00922F7C" w:rsidRPr="00F56158" w:rsidRDefault="00922F7C" w:rsidP="00922F7C">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9" w:name="_Toc121214250"/>
      <w:r>
        <w:rPr>
          <w:rFonts w:ascii="Bookman Old Style" w:hAnsi="Bookman Old Style"/>
          <w:b/>
          <w:bCs/>
          <w:color w:val="2F5496" w:themeColor="accent1" w:themeShade="BF"/>
          <w:sz w:val="22"/>
          <w:szCs w:val="22"/>
        </w:rPr>
        <w:t>Arco temporale dei contributi e monitoraggio dei maggiori oneri in materia di emergenza energetica degli enti territoriali</w:t>
      </w:r>
      <w:r w:rsidRPr="00F56158">
        <w:rPr>
          <w:rFonts w:ascii="Bookman Old Style" w:hAnsi="Bookman Old Style"/>
          <w:b/>
          <w:bCs/>
          <w:color w:val="2F5496" w:themeColor="accent1" w:themeShade="BF"/>
          <w:sz w:val="22"/>
          <w:szCs w:val="22"/>
        </w:rPr>
        <w:t xml:space="preserve"> (art. 8)</w:t>
      </w:r>
      <w:r>
        <w:rPr>
          <w:rFonts w:ascii="Bookman Old Style" w:hAnsi="Bookman Old Style"/>
          <w:b/>
          <w:bCs/>
          <w:color w:val="2F5496" w:themeColor="accent1" w:themeShade="BF"/>
          <w:sz w:val="22"/>
          <w:szCs w:val="22"/>
        </w:rPr>
        <w:t>**</w:t>
      </w:r>
      <w:bookmarkEnd w:id="9"/>
    </w:p>
    <w:p w14:paraId="66DEE7F4" w14:textId="77777777" w:rsidR="00922F7C" w:rsidRPr="007A0C5F" w:rsidRDefault="00922F7C" w:rsidP="00922F7C">
      <w:pPr>
        <w:pStyle w:val="Paragrafoelenco"/>
        <w:spacing w:after="80"/>
        <w:ind w:left="0"/>
        <w:contextualSpacing w:val="0"/>
        <w:jc w:val="both"/>
        <w:rPr>
          <w:rFonts w:ascii="Bookman Old Style" w:hAnsi="Bookman Old Style"/>
          <w:i/>
          <w:iCs/>
        </w:rPr>
      </w:pPr>
      <w:r w:rsidRPr="007A0C5F">
        <w:rPr>
          <w:rFonts w:ascii="Bookman Old Style" w:hAnsi="Bookman Old Style"/>
          <w:i/>
          <w:iCs/>
        </w:rPr>
        <w:t>All’articolo 8 sono apportate le seguenti modificazioni:</w:t>
      </w:r>
    </w:p>
    <w:p w14:paraId="10757002" w14:textId="77777777" w:rsidR="00922F7C" w:rsidRPr="00BE2AA6" w:rsidRDefault="00922F7C" w:rsidP="00922F7C">
      <w:pPr>
        <w:pStyle w:val="Paragrafoelenco"/>
        <w:spacing w:after="80"/>
        <w:ind w:left="0"/>
        <w:contextualSpacing w:val="0"/>
        <w:jc w:val="both"/>
        <w:rPr>
          <w:rFonts w:ascii="Bookman Old Style" w:hAnsi="Bookman Old Style"/>
        </w:rPr>
      </w:pPr>
      <w:r>
        <w:rPr>
          <w:rFonts w:ascii="Bookman Old Style" w:hAnsi="Bookman Old Style"/>
        </w:rPr>
        <w:t xml:space="preserve">a) </w:t>
      </w:r>
      <w:r w:rsidRPr="00BE2AA6">
        <w:rPr>
          <w:rFonts w:ascii="Bookman Old Style" w:hAnsi="Bookman Old Style"/>
        </w:rPr>
        <w:t>al comma 1 dopo le parole “</w:t>
      </w:r>
      <w:r w:rsidRPr="00BE2AA6">
        <w:rPr>
          <w:rFonts w:ascii="Bookman Old Style" w:hAnsi="Bookman Old Style"/>
          <w:i/>
          <w:iCs/>
        </w:rPr>
        <w:t>contributo straordinario</w:t>
      </w:r>
      <w:r w:rsidRPr="00BE2AA6">
        <w:rPr>
          <w:rFonts w:ascii="Bookman Old Style" w:hAnsi="Bookman Old Style"/>
        </w:rPr>
        <w:t>” aggiungere le parole “</w:t>
      </w:r>
      <w:r w:rsidRPr="00BE2AA6">
        <w:rPr>
          <w:rFonts w:ascii="Bookman Old Style" w:hAnsi="Bookman Old Style"/>
          <w:i/>
          <w:iCs/>
        </w:rPr>
        <w:t>per il primo trimestre 2023</w:t>
      </w:r>
      <w:r w:rsidRPr="00BE2AA6">
        <w:rPr>
          <w:rFonts w:ascii="Bookman Old Style" w:hAnsi="Bookman Old Style"/>
        </w:rPr>
        <w:t>”</w:t>
      </w:r>
      <w:r>
        <w:rPr>
          <w:rFonts w:ascii="Bookman Old Style" w:hAnsi="Bookman Old Style"/>
        </w:rPr>
        <w:t>;</w:t>
      </w:r>
    </w:p>
    <w:p w14:paraId="0456B394" w14:textId="77777777" w:rsidR="00922F7C" w:rsidRPr="00BE2AA6" w:rsidRDefault="00922F7C" w:rsidP="00922F7C">
      <w:pPr>
        <w:pStyle w:val="Paragrafoelenco"/>
        <w:spacing w:after="80"/>
        <w:ind w:left="0"/>
        <w:contextualSpacing w:val="0"/>
        <w:jc w:val="both"/>
        <w:rPr>
          <w:rFonts w:ascii="Bookman Old Style" w:hAnsi="Bookman Old Style"/>
        </w:rPr>
      </w:pPr>
      <w:r>
        <w:rPr>
          <w:rFonts w:ascii="Bookman Old Style" w:hAnsi="Bookman Old Style"/>
        </w:rPr>
        <w:t xml:space="preserve">b) </w:t>
      </w:r>
      <w:r w:rsidRPr="00BE2AA6">
        <w:rPr>
          <w:rFonts w:ascii="Bookman Old Style" w:hAnsi="Bookman Old Style"/>
        </w:rPr>
        <w:t>aggiungere in</w:t>
      </w:r>
      <w:r>
        <w:rPr>
          <w:rFonts w:ascii="Bookman Old Style" w:hAnsi="Bookman Old Style"/>
        </w:rPr>
        <w:t xml:space="preserve"> </w:t>
      </w:r>
      <w:r w:rsidRPr="00BE2AA6">
        <w:rPr>
          <w:rFonts w:ascii="Bookman Old Style" w:hAnsi="Bookman Old Style"/>
        </w:rPr>
        <w:t>fine il seguent</w:t>
      </w:r>
      <w:r>
        <w:rPr>
          <w:rFonts w:ascii="Bookman Old Style" w:hAnsi="Bookman Old Style"/>
        </w:rPr>
        <w:t>e</w:t>
      </w:r>
      <w:r w:rsidRPr="00BE2AA6">
        <w:rPr>
          <w:rFonts w:ascii="Bookman Old Style" w:hAnsi="Bookman Old Style"/>
        </w:rPr>
        <w:t xml:space="preserve"> comm</w:t>
      </w:r>
      <w:r>
        <w:rPr>
          <w:rFonts w:ascii="Bookman Old Style" w:hAnsi="Bookman Old Style"/>
        </w:rPr>
        <w:t>a</w:t>
      </w:r>
      <w:r w:rsidRPr="00BE2AA6">
        <w:rPr>
          <w:rFonts w:ascii="Bookman Old Style" w:hAnsi="Bookman Old Style"/>
        </w:rPr>
        <w:t>:</w:t>
      </w:r>
    </w:p>
    <w:p w14:paraId="0D33E6BF" w14:textId="77777777" w:rsidR="00922F7C" w:rsidRPr="00A20489" w:rsidRDefault="00922F7C" w:rsidP="00922F7C">
      <w:pPr>
        <w:pStyle w:val="Paragrafoelenco"/>
        <w:spacing w:after="80"/>
        <w:ind w:left="0"/>
        <w:contextualSpacing w:val="0"/>
        <w:jc w:val="both"/>
        <w:rPr>
          <w:rFonts w:ascii="Bookman Old Style" w:hAnsi="Bookman Old Style"/>
        </w:rPr>
      </w:pPr>
      <w:r>
        <w:rPr>
          <w:rFonts w:ascii="Bookman Old Style" w:hAnsi="Bookman Old Style"/>
        </w:rPr>
        <w:t xml:space="preserve">“2. </w:t>
      </w:r>
      <w:r w:rsidRPr="00A20489">
        <w:rPr>
          <w:rFonts w:ascii="Bookman Old Style" w:hAnsi="Bookman Old Style"/>
        </w:rPr>
        <w:t>Il tavolo tecnico di cui all’articolo 106, comma 2, del decreto-legge 19 maggio 2020, n. 34, convertito in legge con modificazioni dalla legge 17 luglio 2020, n. 77, è incaricato di monitorare gli impatti diretti e indiretti degli incrementi dei costi per energia elettrica e gas sui bilanci degli enti locali al fine di salvaguardare continuità dell’esercizio delle funzioni degli enti stessi e di formulare conseguenti proposte di intervento.</w:t>
      </w:r>
      <w:r>
        <w:rPr>
          <w:rFonts w:ascii="Bookman Old Style" w:hAnsi="Bookman Old Style"/>
        </w:rPr>
        <w:t>”</w:t>
      </w:r>
      <w:r w:rsidRPr="00A20489">
        <w:rPr>
          <w:rFonts w:ascii="Bookman Old Style" w:hAnsi="Bookman Old Style"/>
        </w:rPr>
        <w:t xml:space="preserve"> </w:t>
      </w:r>
    </w:p>
    <w:p w14:paraId="1B27E6C9" w14:textId="77777777" w:rsidR="00922F7C" w:rsidRPr="00A20489" w:rsidRDefault="00922F7C" w:rsidP="00922F7C">
      <w:pPr>
        <w:spacing w:after="80"/>
        <w:jc w:val="center"/>
        <w:rPr>
          <w:rFonts w:ascii="Bookman Old Style" w:hAnsi="Bookman Old Style"/>
          <w:b/>
          <w:bCs/>
        </w:rPr>
      </w:pPr>
      <w:r w:rsidRPr="00A20489">
        <w:rPr>
          <w:rFonts w:ascii="Bookman Old Style" w:hAnsi="Bookman Old Style"/>
          <w:b/>
          <w:bCs/>
        </w:rPr>
        <w:t>Motivazione</w:t>
      </w:r>
    </w:p>
    <w:p w14:paraId="64CD65BD" w14:textId="77777777" w:rsidR="00922F7C" w:rsidRPr="00A20489" w:rsidRDefault="00922F7C" w:rsidP="00922F7C">
      <w:pPr>
        <w:spacing w:after="80"/>
        <w:jc w:val="both"/>
        <w:rPr>
          <w:rFonts w:ascii="Bookman Old Style" w:hAnsi="Bookman Old Style"/>
          <w:i/>
          <w:iCs/>
        </w:rPr>
      </w:pPr>
      <w:r w:rsidRPr="00A20489">
        <w:rPr>
          <w:rFonts w:ascii="Bookman Old Style" w:hAnsi="Bookman Old Style"/>
          <w:i/>
          <w:iCs/>
        </w:rPr>
        <w:t>La proposta dispone</w:t>
      </w:r>
      <w:r>
        <w:rPr>
          <w:rFonts w:ascii="Bookman Old Style" w:hAnsi="Bookman Old Style"/>
          <w:i/>
          <w:iCs/>
        </w:rPr>
        <w:t xml:space="preserve"> alla </w:t>
      </w:r>
      <w:r w:rsidRPr="007A0C5F">
        <w:rPr>
          <w:rFonts w:ascii="Bookman Old Style" w:hAnsi="Bookman Old Style"/>
          <w:b/>
          <w:bCs/>
          <w:i/>
          <w:iCs/>
        </w:rPr>
        <w:t>lettera a)</w:t>
      </w:r>
      <w:r>
        <w:rPr>
          <w:rFonts w:ascii="Bookman Old Style" w:hAnsi="Bookman Old Style"/>
          <w:i/>
          <w:iCs/>
        </w:rPr>
        <w:t xml:space="preserve"> l’individuazione di un periodo temporale di riferimento per il riconoscimento del contributo. Alla </w:t>
      </w:r>
      <w:r w:rsidRPr="00000B6D">
        <w:rPr>
          <w:rFonts w:ascii="Bookman Old Style" w:hAnsi="Bookman Old Style"/>
          <w:b/>
          <w:bCs/>
          <w:i/>
          <w:iCs/>
        </w:rPr>
        <w:t>lettera b)</w:t>
      </w:r>
      <w:r>
        <w:rPr>
          <w:rFonts w:ascii="Bookman Old Style" w:hAnsi="Bookman Old Style"/>
          <w:i/>
          <w:iCs/>
        </w:rPr>
        <w:t xml:space="preserve"> l’emendamento prevede invece </w:t>
      </w:r>
      <w:r w:rsidRPr="00A20489">
        <w:rPr>
          <w:rFonts w:ascii="Bookman Old Style" w:hAnsi="Bookman Old Style"/>
          <w:i/>
          <w:iCs/>
        </w:rPr>
        <w:t>la riattivazione del tavolo tecnico di confronto che tra il 2020 e il 2021 ha permesso di governare in modo condiviso e sulla base di informazioni adeguate la crisi pandemica. Lo scenario oggi determinato dalla crisi energetica e dalla ripresa dell’inflazione ha molti punti di contatto con le inedite difficoltà affrontate nello scorso biennio, in relazione alla necessità di assicurare le condizioni per la continuità dell’esercizio delle funzioni degli enti locali e per la formazione dei bilanci di previsione 2023-25, oggi minacciati da aspettative fortemente negative.</w:t>
      </w:r>
    </w:p>
    <w:p w14:paraId="36C4F0C2" w14:textId="2947C2B3" w:rsidR="00922F7C" w:rsidRDefault="00922F7C" w:rsidP="00922F7C">
      <w:pPr>
        <w:pStyle w:val="Titolo2"/>
        <w:rPr>
          <w:rFonts w:ascii="Bookman Old Style" w:hAnsi="Bookman Old Style"/>
          <w:sz w:val="22"/>
          <w:szCs w:val="22"/>
        </w:rPr>
      </w:pPr>
    </w:p>
    <w:p w14:paraId="410521D9" w14:textId="77777777" w:rsidR="00882A93" w:rsidRPr="00882A93" w:rsidRDefault="00882A93" w:rsidP="00882A93"/>
    <w:p w14:paraId="10672A73" w14:textId="77777777" w:rsidR="00300854" w:rsidRDefault="00300854">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53E4C646" w14:textId="377B4DDF" w:rsidR="00BE2AA6" w:rsidRPr="00F56158" w:rsidRDefault="00BE2AA6" w:rsidP="00F56158">
      <w:pPr>
        <w:pStyle w:val="Titolo3"/>
        <w:numPr>
          <w:ilvl w:val="0"/>
          <w:numId w:val="4"/>
        </w:numPr>
        <w:spacing w:before="0" w:after="80"/>
        <w:ind w:left="0" w:firstLine="0"/>
        <w:jc w:val="both"/>
        <w:rPr>
          <w:rFonts w:ascii="Bookman Old Style" w:hAnsi="Bookman Old Style"/>
          <w:b/>
          <w:bCs/>
          <w:color w:val="2F5496" w:themeColor="accent1" w:themeShade="BF"/>
          <w:sz w:val="22"/>
          <w:szCs w:val="22"/>
        </w:rPr>
      </w:pPr>
      <w:bookmarkStart w:id="10" w:name="_Toc121214251"/>
      <w:r w:rsidRPr="00F56158">
        <w:rPr>
          <w:rFonts w:ascii="Bookman Old Style" w:hAnsi="Bookman Old Style"/>
          <w:b/>
          <w:bCs/>
          <w:color w:val="2F5496" w:themeColor="accent1" w:themeShade="BF"/>
          <w:sz w:val="22"/>
          <w:szCs w:val="22"/>
        </w:rPr>
        <w:t>Risorse delle Città metropolitane **</w:t>
      </w:r>
      <w:bookmarkEnd w:id="10"/>
    </w:p>
    <w:p w14:paraId="67BF3FF2" w14:textId="77777777" w:rsidR="00BE2AA6" w:rsidRPr="00A20489" w:rsidRDefault="00BE2AA6" w:rsidP="00BE2AA6">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144 aggiungere il seguente art. 144 bis</w:t>
      </w:r>
    </w:p>
    <w:p w14:paraId="6ECF7436" w14:textId="0036216F" w:rsidR="00BE2AA6" w:rsidRPr="00A20489" w:rsidRDefault="00BE2AA6" w:rsidP="00BE2AA6">
      <w:pPr>
        <w:pStyle w:val="PreformattatoHTML"/>
        <w:shd w:val="clear" w:color="auto" w:fill="FFFFFF"/>
        <w:spacing w:after="80" w:line="259" w:lineRule="auto"/>
        <w:jc w:val="both"/>
        <w:rPr>
          <w:rStyle w:val="Enfasigrassetto"/>
          <w:rFonts w:ascii="Bookman Old Style" w:hAnsi="Bookman Old Style"/>
          <w:b w:val="0"/>
          <w:bCs w:val="0"/>
          <w:i/>
          <w:iCs/>
          <w:color w:val="19191A"/>
          <w:sz w:val="22"/>
          <w:szCs w:val="22"/>
        </w:rPr>
      </w:pPr>
      <w:r w:rsidRPr="00A20489">
        <w:rPr>
          <w:rFonts w:ascii="Bookman Old Style" w:hAnsi="Bookman Old Style"/>
          <w:sz w:val="22"/>
          <w:szCs w:val="22"/>
        </w:rPr>
        <w:t xml:space="preserve">1. Il fondo di cui all’articolo 41 del decreto legge 17 maggio 2022, n. 50, convertito con modificazioni dalla legge 15 luglio 2022, n. 91, è incrementato di 60 milioni di euro annui per ciascuno degli anni dal 2023 al 2025, da ripartirsi a favore delle città metropolitane delle regioni a statuto ordinario, della regione siciliana e della regione Sardegna </w:t>
      </w:r>
      <w:r w:rsidRPr="00A20489">
        <w:rPr>
          <w:rStyle w:val="Enfasigrassetto"/>
          <w:rFonts w:ascii="Bookman Old Style" w:hAnsi="Bookman Old Style"/>
          <w:b w:val="0"/>
          <w:bCs w:val="0"/>
          <w:color w:val="19191A"/>
          <w:sz w:val="22"/>
          <w:szCs w:val="22"/>
        </w:rPr>
        <w:t>che hanno subito una riduzione del gettito dell'imposta provinciale di trascrizione o dell'imposta</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sulle assicurazioni contro la responsabilità civile derivante dalla circolazione dei veicoli a motore (RC</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Auto), come</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risultante dai dati a disposizione del Dipartimento</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delle</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finanze</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del</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Ministero</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dell'economia</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e</w:t>
      </w:r>
      <w:r w:rsidR="00901A9A">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delle Finanze</w:t>
      </w:r>
      <w:r w:rsidRPr="00A20489">
        <w:rPr>
          <w:rStyle w:val="Enfasigrassetto"/>
          <w:rFonts w:ascii="Bookman Old Style" w:hAnsi="Bookman Old Style"/>
          <w:b w:val="0"/>
          <w:bCs w:val="0"/>
          <w:i/>
          <w:iCs/>
          <w:color w:val="19191A"/>
          <w:sz w:val="22"/>
          <w:szCs w:val="22"/>
        </w:rPr>
        <w:t xml:space="preserve">. </w:t>
      </w:r>
    </w:p>
    <w:p w14:paraId="27AA3D52" w14:textId="77777777" w:rsidR="00BE2AA6" w:rsidRPr="00A20489" w:rsidRDefault="00BE2AA6" w:rsidP="00BE2AA6">
      <w:pPr>
        <w:pStyle w:val="PreformattatoHTML"/>
        <w:shd w:val="clear" w:color="auto" w:fill="FFFFFF"/>
        <w:spacing w:after="80" w:line="259" w:lineRule="auto"/>
        <w:jc w:val="both"/>
        <w:rPr>
          <w:rStyle w:val="Enfasigrassetto"/>
          <w:rFonts w:ascii="Bookman Old Style" w:hAnsi="Bookman Old Style"/>
          <w:b w:val="0"/>
          <w:bCs w:val="0"/>
          <w:color w:val="19191A"/>
          <w:sz w:val="22"/>
          <w:szCs w:val="22"/>
        </w:rPr>
      </w:pPr>
      <w:r w:rsidRPr="00A20489">
        <w:rPr>
          <w:rStyle w:val="Enfasigrassetto"/>
          <w:rFonts w:ascii="Bookman Old Style" w:hAnsi="Bookman Old Style"/>
          <w:b w:val="0"/>
          <w:bCs w:val="0"/>
          <w:color w:val="19191A"/>
          <w:sz w:val="22"/>
          <w:szCs w:val="22"/>
        </w:rPr>
        <w:t>2. Il riparto del fondo di cui al comma 1 è determinato mediante decreti del Ministero dell’Interno di concerto con il Ministero dell’Economia e delle finanze, previa intesa presso la Conferenza Stato-città e autonomie locali, in proporzione e fino a concorrenza delle perdite di gettito registrate rispetto al 2019, rispettivamente, per il 2023 con riferimento al gettito 2021, per il 2024 con riferimento al gettito del 2022, per il 2025 con riferimento al gettito del 2023. Gli enti beneficiari possono utilizzare in tutto o in parte le risorse di cui sono assegnatari per contrastare l’insorgere di disavanzi o l’aggravarsi di disavanzi già in essere sui rendiconti dell’esercizio precedente quello di riferimento di ogni assegnazione, dovuti alle diminuzioni di gettito di cui al comma 1. Nei riparti di cui al presente comma si tiene conto delle risorse assegnate ai sensi dell’articolo 41, comma 2 del citato decreto legge n. 50 del 2022</w:t>
      </w:r>
    </w:p>
    <w:p w14:paraId="48FF3673" w14:textId="77777777" w:rsidR="00BE2AA6" w:rsidRPr="00A20489" w:rsidRDefault="00BE2AA6" w:rsidP="00BE2AA6">
      <w:pPr>
        <w:pStyle w:val="PreformattatoHTML"/>
        <w:shd w:val="clear" w:color="auto" w:fill="FFFFFF"/>
        <w:spacing w:after="80" w:line="259" w:lineRule="auto"/>
        <w:jc w:val="both"/>
        <w:rPr>
          <w:rStyle w:val="Enfasigrassetto"/>
          <w:rFonts w:ascii="Bookman Old Style" w:hAnsi="Bookman Old Style"/>
          <w:b w:val="0"/>
          <w:bCs w:val="0"/>
          <w:color w:val="19191A"/>
          <w:sz w:val="22"/>
          <w:szCs w:val="22"/>
        </w:rPr>
      </w:pPr>
      <w:r w:rsidRPr="00A20489">
        <w:rPr>
          <w:rStyle w:val="Enfasigrassetto"/>
          <w:rFonts w:ascii="Bookman Old Style" w:hAnsi="Bookman Old Style"/>
          <w:b w:val="0"/>
          <w:bCs w:val="0"/>
          <w:color w:val="19191A"/>
          <w:sz w:val="22"/>
          <w:szCs w:val="22"/>
        </w:rPr>
        <w:t>3. I decreti di cui al comma 2 sono emanati, per il 2023, entro il 31 gennaio 2023, per il 2024 e per il 2025 entro il 30 settembre dell’anno rispettivamente precedente.</w:t>
      </w:r>
    </w:p>
    <w:p w14:paraId="01D8B472" w14:textId="77777777" w:rsidR="00BE2AA6" w:rsidRDefault="00BE2AA6" w:rsidP="00BE2AA6">
      <w:pPr>
        <w:pStyle w:val="PreformattatoHTML"/>
        <w:shd w:val="clear" w:color="auto" w:fill="FFFFFF"/>
        <w:spacing w:after="80" w:line="259" w:lineRule="auto"/>
        <w:jc w:val="both"/>
        <w:rPr>
          <w:rFonts w:ascii="Bookman Old Style" w:hAnsi="Bookman Old Style"/>
          <w:color w:val="19191A"/>
          <w:sz w:val="22"/>
          <w:szCs w:val="22"/>
        </w:rPr>
      </w:pPr>
      <w:r w:rsidRPr="00A20489">
        <w:rPr>
          <w:rFonts w:ascii="Bookman Old Style" w:hAnsi="Bookman Old Style"/>
          <w:color w:val="19191A"/>
          <w:sz w:val="22"/>
          <w:szCs w:val="22"/>
        </w:rPr>
        <w:t>4. Il fondo di cui al comma 784, articolo 1, della legge 30 dicembre 2020, n. 178, è incrementato di 60 milioni di euro a decorrere dal 2023, da ripartirsi tra le città metropolitane delle regioni a statuto ordinario, sulla base degli stessi criteri di cui al comma 785, articolo 1, della citata legge n. 178 del 2020.</w:t>
      </w:r>
    </w:p>
    <w:p w14:paraId="2DA7CF1F" w14:textId="3A27599A" w:rsidR="00D062E4" w:rsidRPr="00D062E4" w:rsidRDefault="00D062E4" w:rsidP="00D062E4">
      <w:pPr>
        <w:pStyle w:val="PreformattatoHTML"/>
        <w:shd w:val="clear" w:color="auto" w:fill="FFFFFF"/>
        <w:spacing w:after="80" w:line="259" w:lineRule="auto"/>
        <w:jc w:val="both"/>
        <w:rPr>
          <w:rFonts w:ascii="Bookman Old Style" w:hAnsi="Bookman Old Style"/>
          <w:color w:val="19191A"/>
          <w:sz w:val="22"/>
          <w:szCs w:val="22"/>
        </w:rPr>
      </w:pPr>
      <w:r w:rsidRPr="00D062E4">
        <w:rPr>
          <w:rFonts w:ascii="Bookman Old Style" w:hAnsi="Bookman Old Style"/>
          <w:color w:val="19191A"/>
          <w:sz w:val="22"/>
          <w:szCs w:val="22"/>
        </w:rPr>
        <w:t>5. Al fine di migliorare lo stato di manutenzione delle infrastrutture, garantendo adeguati standard di sicurezza, anche in relazione</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allo</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svolgimento</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dei</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Giochi</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olimpici</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e</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paralimpici invernali Milano Cortina 2026, è istituito nello stato di previsione del</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Ministero</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dell'interno</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un</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fondo</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con</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una dotazione pari a 30 milioni di euro per</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ciascuno</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degli</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anni 2023, 2024 e 2025 da assegnare a favore della Città Metropolitana di Milano per la gestione delle</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spese</w:t>
      </w:r>
      <w:r w:rsidR="00901A9A">
        <w:rPr>
          <w:rFonts w:ascii="Bookman Old Style" w:hAnsi="Bookman Old Style"/>
          <w:color w:val="19191A"/>
          <w:sz w:val="22"/>
          <w:szCs w:val="22"/>
        </w:rPr>
        <w:t xml:space="preserve"> </w:t>
      </w:r>
      <w:r w:rsidRPr="00D062E4">
        <w:rPr>
          <w:rFonts w:ascii="Bookman Old Style" w:hAnsi="Bookman Old Style"/>
          <w:color w:val="19191A"/>
          <w:sz w:val="22"/>
          <w:szCs w:val="22"/>
        </w:rPr>
        <w:t>correnti comunque connesse all’esercizio delle funzioni fondamenti.”</w:t>
      </w:r>
    </w:p>
    <w:p w14:paraId="0607A205" w14:textId="1DAAEC47" w:rsidR="00505FBD" w:rsidRPr="00312CFF" w:rsidRDefault="00312CFF" w:rsidP="00312CFF">
      <w:pPr>
        <w:pStyle w:val="PreformattatoHTML"/>
        <w:shd w:val="clear" w:color="auto" w:fill="FFFFFF"/>
        <w:spacing w:after="80" w:line="259" w:lineRule="auto"/>
        <w:jc w:val="both"/>
        <w:rPr>
          <w:rFonts w:ascii="Bookman Old Style" w:hAnsi="Bookman Old Style"/>
          <w:color w:val="19191A"/>
          <w:sz w:val="22"/>
          <w:szCs w:val="22"/>
        </w:rPr>
      </w:pPr>
      <w:r w:rsidRPr="00312CFF">
        <w:rPr>
          <w:rFonts w:ascii="Bookman Old Style" w:hAnsi="Bookman Old Style"/>
          <w:color w:val="19191A"/>
          <w:sz w:val="22"/>
          <w:szCs w:val="22"/>
        </w:rPr>
        <w:t xml:space="preserve">6. </w:t>
      </w:r>
      <w:r w:rsidR="00505FBD" w:rsidRPr="00312CFF">
        <w:rPr>
          <w:rFonts w:ascii="Bookman Old Style" w:hAnsi="Bookman Old Style"/>
          <w:color w:val="19191A"/>
          <w:sz w:val="22"/>
          <w:szCs w:val="22"/>
        </w:rPr>
        <w:t xml:space="preserve">All’articolo 31 bis, comma 3, del </w:t>
      </w:r>
      <w:r w:rsidR="006A528A">
        <w:rPr>
          <w:rFonts w:ascii="Bookman Old Style" w:hAnsi="Bookman Old Style"/>
          <w:color w:val="19191A"/>
          <w:sz w:val="22"/>
          <w:szCs w:val="22"/>
        </w:rPr>
        <w:t>d</w:t>
      </w:r>
      <w:r w:rsidR="00505FBD" w:rsidRPr="00312CFF">
        <w:rPr>
          <w:rFonts w:ascii="Bookman Old Style" w:hAnsi="Bookman Old Style"/>
          <w:color w:val="19191A"/>
          <w:sz w:val="22"/>
          <w:szCs w:val="22"/>
        </w:rPr>
        <w:t xml:space="preserve">ecreto </w:t>
      </w:r>
      <w:r w:rsidR="006A528A">
        <w:rPr>
          <w:rFonts w:ascii="Bookman Old Style" w:hAnsi="Bookman Old Style"/>
          <w:color w:val="19191A"/>
          <w:sz w:val="22"/>
          <w:szCs w:val="22"/>
        </w:rPr>
        <w:t>l</w:t>
      </w:r>
      <w:r w:rsidR="00505FBD" w:rsidRPr="00312CFF">
        <w:rPr>
          <w:rFonts w:ascii="Bookman Old Style" w:hAnsi="Bookman Old Style"/>
          <w:color w:val="19191A"/>
          <w:sz w:val="22"/>
          <w:szCs w:val="22"/>
        </w:rPr>
        <w:t>egge 30 dicembre 2019, n. 162, convertito, con modificazioni, dalla Legge 28 febbraio 2020, n. 8, le parole “Per ciascuno degli anni dal 2020 al 2024” sono sostituite dalle seguenti “Per ciascuno degli anni dal 2020 al 2025”.</w:t>
      </w:r>
    </w:p>
    <w:p w14:paraId="1E40D205" w14:textId="113220BD" w:rsidR="00262F81" w:rsidRPr="00084DDF" w:rsidRDefault="00262F81" w:rsidP="00BE2AA6">
      <w:pPr>
        <w:pStyle w:val="PreformattatoHTML"/>
        <w:shd w:val="clear" w:color="auto" w:fill="FFFFFF"/>
        <w:spacing w:after="80" w:line="259" w:lineRule="auto"/>
        <w:jc w:val="both"/>
        <w:rPr>
          <w:rFonts w:ascii="Bookman Old Style" w:hAnsi="Bookman Old Style"/>
          <w:i/>
          <w:iCs/>
          <w:color w:val="19191A"/>
          <w:sz w:val="22"/>
          <w:szCs w:val="22"/>
        </w:rPr>
      </w:pPr>
      <w:r w:rsidRPr="00084DDF">
        <w:rPr>
          <w:rFonts w:ascii="Bookman Old Style" w:hAnsi="Bookman Old Style"/>
          <w:i/>
          <w:iCs/>
          <w:color w:val="19191A"/>
          <w:sz w:val="22"/>
          <w:szCs w:val="22"/>
        </w:rPr>
        <w:t xml:space="preserve">Agli oneri di cui al presente articolo, pari per </w:t>
      </w:r>
      <w:r w:rsidR="00BB6158">
        <w:rPr>
          <w:rFonts w:ascii="Bookman Old Style" w:hAnsi="Bookman Old Style"/>
          <w:i/>
          <w:iCs/>
          <w:color w:val="19191A"/>
          <w:sz w:val="22"/>
          <w:szCs w:val="22"/>
        </w:rPr>
        <w:t xml:space="preserve">gli anni </w:t>
      </w:r>
      <w:r w:rsidR="00B11C0E">
        <w:rPr>
          <w:rFonts w:ascii="Bookman Old Style" w:hAnsi="Bookman Old Style"/>
          <w:i/>
          <w:iCs/>
          <w:color w:val="19191A"/>
          <w:sz w:val="22"/>
          <w:szCs w:val="22"/>
        </w:rPr>
        <w:t>2023-</w:t>
      </w:r>
      <w:r w:rsidR="004D1EBE">
        <w:rPr>
          <w:rFonts w:ascii="Bookman Old Style" w:hAnsi="Bookman Old Style"/>
          <w:i/>
          <w:iCs/>
          <w:color w:val="19191A"/>
          <w:sz w:val="22"/>
          <w:szCs w:val="22"/>
        </w:rPr>
        <w:t xml:space="preserve">2024 </w:t>
      </w:r>
      <w:r w:rsidR="00B11C0E">
        <w:rPr>
          <w:rFonts w:ascii="Bookman Old Style" w:hAnsi="Bookman Old Style"/>
          <w:i/>
          <w:iCs/>
          <w:color w:val="19191A"/>
          <w:sz w:val="22"/>
          <w:szCs w:val="22"/>
        </w:rPr>
        <w:t xml:space="preserve">a </w:t>
      </w:r>
      <w:r w:rsidRPr="00084DDF">
        <w:rPr>
          <w:rFonts w:ascii="Bookman Old Style" w:hAnsi="Bookman Old Style"/>
          <w:i/>
          <w:iCs/>
          <w:color w:val="19191A"/>
          <w:sz w:val="22"/>
          <w:szCs w:val="22"/>
        </w:rPr>
        <w:t>1</w:t>
      </w:r>
      <w:r w:rsidR="008E227B">
        <w:rPr>
          <w:rFonts w:ascii="Bookman Old Style" w:hAnsi="Bookman Old Style"/>
          <w:i/>
          <w:iCs/>
          <w:color w:val="19191A"/>
          <w:sz w:val="22"/>
          <w:szCs w:val="22"/>
        </w:rPr>
        <w:t>5</w:t>
      </w:r>
      <w:r w:rsidRPr="00084DDF">
        <w:rPr>
          <w:rFonts w:ascii="Bookman Old Style" w:hAnsi="Bookman Old Style"/>
          <w:i/>
          <w:iCs/>
          <w:color w:val="19191A"/>
          <w:sz w:val="22"/>
          <w:szCs w:val="22"/>
        </w:rPr>
        <w:t xml:space="preserve">0 milioni di </w:t>
      </w:r>
      <w:r w:rsidR="004D1EBE" w:rsidRPr="00084DDF">
        <w:rPr>
          <w:rFonts w:ascii="Bookman Old Style" w:hAnsi="Bookman Old Style"/>
          <w:i/>
          <w:iCs/>
          <w:color w:val="19191A"/>
          <w:sz w:val="22"/>
          <w:szCs w:val="22"/>
        </w:rPr>
        <w:t>euro</w:t>
      </w:r>
      <w:r w:rsidR="004D1EBE">
        <w:rPr>
          <w:rFonts w:ascii="Bookman Old Style" w:hAnsi="Bookman Old Style"/>
          <w:i/>
          <w:iCs/>
          <w:color w:val="19191A"/>
          <w:sz w:val="22"/>
          <w:szCs w:val="22"/>
        </w:rPr>
        <w:t xml:space="preserve"> annui</w:t>
      </w:r>
      <w:r w:rsidRPr="00084DDF">
        <w:rPr>
          <w:rFonts w:ascii="Bookman Old Style" w:hAnsi="Bookman Old Style"/>
          <w:i/>
          <w:iCs/>
          <w:color w:val="19191A"/>
          <w:sz w:val="22"/>
          <w:szCs w:val="22"/>
        </w:rPr>
        <w:t>,</w:t>
      </w:r>
      <w:r w:rsidR="004D1EBE">
        <w:rPr>
          <w:rFonts w:ascii="Bookman Old Style" w:hAnsi="Bookman Old Style"/>
          <w:i/>
          <w:iCs/>
          <w:color w:val="19191A"/>
          <w:sz w:val="22"/>
          <w:szCs w:val="22"/>
        </w:rPr>
        <w:t xml:space="preserve"> PER l’anno 2025 a 180 </w:t>
      </w:r>
      <w:r w:rsidR="00FD6048">
        <w:rPr>
          <w:rFonts w:ascii="Bookman Old Style" w:hAnsi="Bookman Old Style"/>
          <w:i/>
          <w:iCs/>
          <w:color w:val="19191A"/>
          <w:sz w:val="22"/>
          <w:szCs w:val="22"/>
        </w:rPr>
        <w:t xml:space="preserve">milioni di euro </w:t>
      </w:r>
      <w:r w:rsidR="00B11C0E">
        <w:rPr>
          <w:rFonts w:ascii="Bookman Old Style" w:hAnsi="Bookman Old Style"/>
          <w:i/>
          <w:iCs/>
          <w:color w:val="19191A"/>
          <w:sz w:val="22"/>
          <w:szCs w:val="22"/>
        </w:rPr>
        <w:t xml:space="preserve">e per gli anni successivi </w:t>
      </w:r>
      <w:r w:rsidR="00FD6048">
        <w:rPr>
          <w:rFonts w:ascii="Bookman Old Style" w:hAnsi="Bookman Old Style"/>
          <w:i/>
          <w:iCs/>
          <w:color w:val="19191A"/>
          <w:sz w:val="22"/>
          <w:szCs w:val="22"/>
        </w:rPr>
        <w:t xml:space="preserve">a decorrere dal 2026 </w:t>
      </w:r>
      <w:r w:rsidR="00B11C0E">
        <w:rPr>
          <w:rFonts w:ascii="Bookman Old Style" w:hAnsi="Bookman Old Style"/>
          <w:i/>
          <w:iCs/>
          <w:color w:val="19191A"/>
          <w:sz w:val="22"/>
          <w:szCs w:val="22"/>
        </w:rPr>
        <w:t xml:space="preserve">a 60 milioni di euro </w:t>
      </w:r>
      <w:r w:rsidR="00FD6048">
        <w:rPr>
          <w:rFonts w:ascii="Bookman Old Style" w:hAnsi="Bookman Old Style"/>
          <w:i/>
          <w:iCs/>
          <w:color w:val="19191A"/>
          <w:sz w:val="22"/>
          <w:szCs w:val="22"/>
        </w:rPr>
        <w:t xml:space="preserve">annui, </w:t>
      </w:r>
      <w:r w:rsidRPr="00084DDF">
        <w:rPr>
          <w:rFonts w:ascii="Bookman Old Style" w:hAnsi="Bookman Old Style"/>
          <w:i/>
          <w:iCs/>
          <w:color w:val="19191A"/>
          <w:sz w:val="22"/>
          <w:szCs w:val="22"/>
        </w:rPr>
        <w:t xml:space="preserve">si provvede </w:t>
      </w:r>
      <w:r w:rsidR="00084DDF" w:rsidRPr="00084DDF">
        <w:rPr>
          <w:rFonts w:ascii="Bookman Old Style" w:hAnsi="Bookman Old Style"/>
          <w:i/>
          <w:iCs/>
          <w:color w:val="19191A"/>
          <w:sz w:val="22"/>
          <w:szCs w:val="22"/>
        </w:rPr>
        <w:t>mediante riduzione di pari importo del fondo di cui all’articolo 152, comma 3.</w:t>
      </w:r>
    </w:p>
    <w:p w14:paraId="1B7DC6BB" w14:textId="77777777" w:rsidR="00BE2AA6" w:rsidRPr="00A20489" w:rsidRDefault="00BE2AA6" w:rsidP="00BE2AA6">
      <w:pPr>
        <w:spacing w:after="80"/>
        <w:jc w:val="center"/>
        <w:rPr>
          <w:rFonts w:ascii="Bookman Old Style" w:hAnsi="Bookman Old Style"/>
          <w:b/>
          <w:bCs/>
        </w:rPr>
      </w:pPr>
      <w:r w:rsidRPr="00A20489">
        <w:rPr>
          <w:rFonts w:ascii="Bookman Old Style" w:hAnsi="Bookman Old Style"/>
          <w:b/>
          <w:bCs/>
        </w:rPr>
        <w:t>Motivazione</w:t>
      </w:r>
    </w:p>
    <w:p w14:paraId="31A21DEB" w14:textId="624BC8BF" w:rsidR="00BE2AA6" w:rsidRPr="00A20489" w:rsidRDefault="00BE2AA6" w:rsidP="00BE2AA6">
      <w:pPr>
        <w:spacing w:after="80"/>
        <w:jc w:val="both"/>
        <w:rPr>
          <w:rFonts w:ascii="Bookman Old Style" w:hAnsi="Bookman Old Style"/>
          <w:i/>
          <w:iCs/>
        </w:rPr>
      </w:pPr>
      <w:r w:rsidRPr="00A20489">
        <w:rPr>
          <w:rFonts w:ascii="Bookman Old Style" w:hAnsi="Bookman Old Style"/>
          <w:i/>
          <w:iCs/>
        </w:rPr>
        <w:t xml:space="preserve">Le norme proposte mirano a soddisfare parte del </w:t>
      </w:r>
      <w:r w:rsidRPr="005C2502">
        <w:rPr>
          <w:rFonts w:ascii="Bookman Old Style" w:hAnsi="Bookman Old Style"/>
          <w:b/>
          <w:bCs/>
          <w:i/>
          <w:iCs/>
        </w:rPr>
        <w:t>fabbisogno finanziario delle città metropolitane</w:t>
      </w:r>
      <w:r w:rsidRPr="00A20489">
        <w:rPr>
          <w:rFonts w:ascii="Bookman Old Style" w:hAnsi="Bookman Old Style"/>
          <w:i/>
          <w:iCs/>
        </w:rPr>
        <w:t xml:space="preserve"> derivate da due distinti fenomeni. In primo luogo, il preoccupante calo dei gettiti da tributi automobilistici, che rappresentano oltre la metà delle risorse proprie degli enti, inizialmente indotto dal blocco delle attività derivante dalla pandemia da virus Covid-19 e poi proseguita per effetto delle difficoltà di approvvigionamento sui mercati delle materie prime e dei componenti dei veicoli, nonché della crisi energetica in corso. È prevedibile che le riduzioni osservate nello scorso biennio e proseguite nel 2022 comprendano una componente strutturale in grado di minacciare in modo stabile la dimensione ordinaria delle entrate delle Città metropolitane. La norma proposta con i </w:t>
      </w:r>
      <w:r w:rsidRPr="00A20489">
        <w:rPr>
          <w:rFonts w:ascii="Bookman Old Style" w:hAnsi="Bookman Old Style"/>
          <w:b/>
          <w:bCs/>
          <w:i/>
          <w:iCs/>
        </w:rPr>
        <w:t>commi da 1 a 3</w:t>
      </w:r>
      <w:r w:rsidRPr="00A20489">
        <w:rPr>
          <w:rFonts w:ascii="Bookman Old Style" w:hAnsi="Bookman Old Style"/>
          <w:i/>
          <w:iCs/>
        </w:rPr>
        <w:t xml:space="preserve"> assegna un contributo di 60 milioni di euro annui tra il 2023 e il 2025 in proporzione delle perdite di gettito subite da ciascun ente, tenendo conto delle risorse già assegnate con il dl 50/2022 alla Città metropolitana di Roma. IL comma 2 permette inoltre agli enti di imputare parte delle somme assegnate di anno in anno sull’esercizio precedente in fase di rendiconto per contrastare l’insorgere di disavanzi – o l’aggravamento di disavanzi già in essere – derivanti dalle perdite di gettito oggetto del ristoro.</w:t>
      </w:r>
    </w:p>
    <w:p w14:paraId="33628C93" w14:textId="77777777" w:rsidR="00BE2AA6" w:rsidRPr="00A20489" w:rsidRDefault="00BE2AA6" w:rsidP="00BE2AA6">
      <w:pPr>
        <w:spacing w:after="80"/>
        <w:jc w:val="both"/>
        <w:rPr>
          <w:rFonts w:ascii="Bookman Old Style" w:hAnsi="Bookman Old Style"/>
          <w:i/>
          <w:iCs/>
        </w:rPr>
      </w:pPr>
      <w:r w:rsidRPr="00A20489">
        <w:rPr>
          <w:rFonts w:ascii="Bookman Old Style" w:hAnsi="Bookman Old Style"/>
          <w:i/>
          <w:iCs/>
        </w:rPr>
        <w:t xml:space="preserve">Con il </w:t>
      </w:r>
      <w:r w:rsidRPr="00A20489">
        <w:rPr>
          <w:rFonts w:ascii="Bookman Old Style" w:hAnsi="Bookman Old Style"/>
          <w:b/>
          <w:bCs/>
          <w:i/>
          <w:iCs/>
        </w:rPr>
        <w:t>comma 4</w:t>
      </w:r>
      <w:r w:rsidRPr="00A20489">
        <w:rPr>
          <w:rFonts w:ascii="Bookman Old Style" w:hAnsi="Bookman Old Style"/>
          <w:i/>
          <w:iCs/>
        </w:rPr>
        <w:t>, inoltre, viene aumentato il fondo istituito nel 2022 per tenere conto del nuovo assetto del finanziamento delle Città metropolitane e delle Province finalizzato a riequilibrare progressivamente lo sbilancio tra fabbisogni standard risorse proprie gravate da un rilevantissimo contributo alla finanza pubblica determinato dai tagli insostenibili dello scorso decennio, certificato in oltre 300 milioni di euro annui. Il contributo istituito con la legge di bilancio per il 2022, tuttavia, determina maggiori risorse a regime a favore delle CM per 159 milioni di euro con una lunga progressione decennale. L’assegnazione di 60 milioni aggiuntivi risponde quindi alla necessità di rafforzare questo dispositivo a decorrere dal 2023 anche al fine di assicurare le condizioni per una migliore gestione dei numerosi interventi PNRR di cui le CM sono soggetti attuatori.</w:t>
      </w:r>
    </w:p>
    <w:p w14:paraId="1D761F27" w14:textId="61AECD4B" w:rsidR="00312CFF" w:rsidRPr="003E0CE2" w:rsidRDefault="008E227B" w:rsidP="00312CFF">
      <w:pPr>
        <w:pStyle w:val="PreformattatoHTML"/>
        <w:shd w:val="clear" w:color="auto" w:fill="FFFFFF"/>
        <w:jc w:val="both"/>
        <w:rPr>
          <w:rFonts w:ascii="Bookman Old Style" w:hAnsi="Bookman Old Style" w:cs="Times-Roman"/>
          <w:i/>
          <w:iCs/>
          <w:sz w:val="22"/>
          <w:szCs w:val="22"/>
        </w:rPr>
      </w:pPr>
      <w:r w:rsidRPr="003E0CE2">
        <w:rPr>
          <w:rFonts w:ascii="Bookman Old Style" w:hAnsi="Bookman Old Style"/>
          <w:i/>
          <w:iCs/>
          <w:sz w:val="22"/>
          <w:szCs w:val="22"/>
        </w:rPr>
        <w:t xml:space="preserve">Con il </w:t>
      </w:r>
      <w:r w:rsidRPr="003E0CE2">
        <w:rPr>
          <w:rFonts w:ascii="Bookman Old Style" w:hAnsi="Bookman Old Style"/>
          <w:b/>
          <w:bCs/>
          <w:i/>
          <w:iCs/>
          <w:sz w:val="22"/>
          <w:szCs w:val="22"/>
        </w:rPr>
        <w:t>comma 5</w:t>
      </w:r>
      <w:r w:rsidR="00312CFF" w:rsidRPr="003E0CE2">
        <w:rPr>
          <w:rFonts w:ascii="Bookman Old Style" w:hAnsi="Bookman Old Style"/>
          <w:b/>
          <w:bCs/>
          <w:i/>
          <w:iCs/>
          <w:sz w:val="22"/>
          <w:szCs w:val="22"/>
        </w:rPr>
        <w:t xml:space="preserve"> </w:t>
      </w:r>
      <w:r w:rsidR="00312CFF" w:rsidRPr="003E0CE2">
        <w:rPr>
          <w:rFonts w:ascii="Bookman Old Style" w:hAnsi="Bookman Old Style"/>
          <w:i/>
          <w:iCs/>
          <w:sz w:val="22"/>
          <w:szCs w:val="22"/>
        </w:rPr>
        <w:t xml:space="preserve">si assegnano </w:t>
      </w:r>
      <w:r w:rsidR="006B16E9" w:rsidRPr="003E0CE2">
        <w:rPr>
          <w:rFonts w:ascii="Bookman Old Style" w:hAnsi="Bookman Old Style"/>
          <w:i/>
          <w:iCs/>
          <w:sz w:val="22"/>
          <w:szCs w:val="22"/>
        </w:rPr>
        <w:t>30 milioni di euro annui alla Città</w:t>
      </w:r>
      <w:r w:rsidR="003E0CE2" w:rsidRPr="003E0CE2">
        <w:rPr>
          <w:rFonts w:ascii="Bookman Old Style" w:hAnsi="Bookman Old Style"/>
          <w:i/>
          <w:iCs/>
          <w:sz w:val="22"/>
          <w:szCs w:val="22"/>
        </w:rPr>
        <w:t xml:space="preserve"> </w:t>
      </w:r>
      <w:r w:rsidR="006B16E9" w:rsidRPr="003E0CE2">
        <w:rPr>
          <w:rFonts w:ascii="Bookman Old Style" w:hAnsi="Bookman Old Style"/>
          <w:i/>
          <w:iCs/>
          <w:sz w:val="22"/>
          <w:szCs w:val="22"/>
        </w:rPr>
        <w:t xml:space="preserve">metropolitana di Milano </w:t>
      </w:r>
      <w:r w:rsidR="003E0CE2" w:rsidRPr="003E0CE2">
        <w:rPr>
          <w:rFonts w:ascii="Bookman Old Style" w:hAnsi="Bookman Old Style"/>
          <w:i/>
          <w:iCs/>
          <w:sz w:val="22"/>
          <w:szCs w:val="22"/>
        </w:rPr>
        <w:t xml:space="preserve">per il triennio 2023-2025 per il sostegno agli interventi di manutenzione e sviluppo delle infrastrutture connesse all’attuazione delle Olimpiadi invernali Milano-Cortina 2026. Infine, </w:t>
      </w:r>
      <w:r w:rsidR="00312CFF" w:rsidRPr="003E0CE2">
        <w:rPr>
          <w:rFonts w:ascii="Bookman Old Style" w:hAnsi="Bookman Old Style"/>
          <w:i/>
          <w:iCs/>
          <w:sz w:val="22"/>
          <w:szCs w:val="22"/>
        </w:rPr>
        <w:t>con il</w:t>
      </w:r>
      <w:r w:rsidR="00312CFF" w:rsidRPr="003E0CE2">
        <w:rPr>
          <w:rFonts w:ascii="Bookman Old Style" w:hAnsi="Bookman Old Style"/>
          <w:b/>
          <w:bCs/>
          <w:i/>
          <w:iCs/>
          <w:sz w:val="22"/>
          <w:szCs w:val="22"/>
        </w:rPr>
        <w:t xml:space="preserve"> comma 6 </w:t>
      </w:r>
      <w:r w:rsidR="00312CFF" w:rsidRPr="003E0CE2">
        <w:rPr>
          <w:rFonts w:ascii="Bookman Old Style" w:hAnsi="Bookman Old Style" w:cs="Times-Roman"/>
          <w:i/>
          <w:iCs/>
          <w:sz w:val="22"/>
          <w:szCs w:val="22"/>
        </w:rPr>
        <w:t>viene estesa al 2025 la concessione alle Città metropolitane di Roma e Milano del finanziamento speciale rispettivamente di 20 e 10 milioni di euro per interventi di manutenzione delle strade di competenza.</w:t>
      </w:r>
    </w:p>
    <w:p w14:paraId="3BA44DC1" w14:textId="77777777" w:rsidR="00882A93" w:rsidRDefault="00882A93">
      <w:pPr>
        <w:rPr>
          <w:rFonts w:ascii="Bookman Old Style" w:eastAsiaTheme="majorEastAsia" w:hAnsi="Bookman Old Style" w:cstheme="majorBidi"/>
          <w:b/>
          <w:bCs/>
          <w:color w:val="2F5496" w:themeColor="accent1" w:themeShade="BF"/>
        </w:rPr>
      </w:pPr>
    </w:p>
    <w:p w14:paraId="6637E6ED" w14:textId="5629C856" w:rsidR="005207D9" w:rsidRPr="00A20489" w:rsidRDefault="005207D9" w:rsidP="00C80C07">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 w:name="_Toc121214252"/>
      <w:r w:rsidRPr="00A20489">
        <w:rPr>
          <w:rFonts w:ascii="Bookman Old Style" w:hAnsi="Bookman Old Style"/>
          <w:b/>
          <w:bCs/>
          <w:color w:val="2F5496" w:themeColor="accent1" w:themeShade="BF"/>
          <w:sz w:val="22"/>
          <w:szCs w:val="22"/>
        </w:rPr>
        <w:t>Canone unico-Rideterminazione canone per infrastrutture di</w:t>
      </w:r>
      <w:r w:rsidR="00C80C07">
        <w:rPr>
          <w:rFonts w:ascii="Bookman Old Style" w:hAnsi="Bookman Old Style"/>
          <w:b/>
          <w:bCs/>
          <w:color w:val="2F5496" w:themeColor="accent1" w:themeShade="BF"/>
          <w:sz w:val="22"/>
          <w:szCs w:val="22"/>
        </w:rPr>
        <w:t xml:space="preserve"> </w:t>
      </w:r>
      <w:r w:rsidRPr="00A20489">
        <w:rPr>
          <w:rFonts w:ascii="Bookman Old Style" w:hAnsi="Bookman Old Style"/>
          <w:b/>
          <w:bCs/>
          <w:color w:val="2F5496" w:themeColor="accent1" w:themeShade="BF"/>
          <w:sz w:val="22"/>
          <w:szCs w:val="22"/>
        </w:rPr>
        <w:t>comunicazione</w:t>
      </w:r>
      <w:r w:rsidRPr="00F56158">
        <w:rPr>
          <w:rFonts w:ascii="Times New Roman" w:hAnsi="Times New Roman" w:cs="Times New Roman"/>
          <w:b/>
          <w:bCs/>
          <w:color w:val="2F5496" w:themeColor="accent1" w:themeShade="BF"/>
          <w:sz w:val="22"/>
          <w:szCs w:val="22"/>
        </w:rPr>
        <w:t>    </w:t>
      </w:r>
      <w:r>
        <w:rPr>
          <w:rFonts w:ascii="Bookman Old Style" w:hAnsi="Bookman Old Style"/>
          <w:b/>
          <w:bCs/>
          <w:color w:val="2F5496" w:themeColor="accent1" w:themeShade="BF"/>
          <w:sz w:val="22"/>
          <w:szCs w:val="22"/>
        </w:rPr>
        <w:t>**</w:t>
      </w:r>
      <w:bookmarkEnd w:id="11"/>
    </w:p>
    <w:p w14:paraId="29BB354D" w14:textId="6A84BC54" w:rsidR="005207D9" w:rsidRPr="00A20489" w:rsidRDefault="005207D9" w:rsidP="005207D9">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144 aggiungere il seguente art. 144</w:t>
      </w:r>
      <w:r w:rsidR="00A30002">
        <w:rPr>
          <w:rFonts w:ascii="Bookman Old Style" w:hAnsi="Bookman Old Style"/>
          <w:i/>
          <w:iCs/>
          <w:sz w:val="22"/>
          <w:szCs w:val="22"/>
        </w:rPr>
        <w:t>-</w:t>
      </w:r>
      <w:r w:rsidRPr="00A20489">
        <w:rPr>
          <w:rFonts w:ascii="Bookman Old Style" w:hAnsi="Bookman Old Style"/>
          <w:i/>
          <w:iCs/>
          <w:sz w:val="22"/>
          <w:szCs w:val="22"/>
        </w:rPr>
        <w:t>bis</w:t>
      </w:r>
    </w:p>
    <w:p w14:paraId="0DF89F6C" w14:textId="44747098" w:rsidR="005207D9" w:rsidRPr="00A30002" w:rsidRDefault="00A30002" w:rsidP="00A30002">
      <w:pPr>
        <w:pStyle w:val="PreformattatoHTML"/>
        <w:shd w:val="clear" w:color="auto" w:fill="FFFFFF"/>
        <w:spacing w:after="80" w:line="259" w:lineRule="auto"/>
        <w:jc w:val="both"/>
        <w:rPr>
          <w:rFonts w:ascii="Bookman Old Style" w:hAnsi="Bookman Old Style"/>
          <w:i/>
          <w:iCs/>
          <w:sz w:val="22"/>
          <w:szCs w:val="22"/>
        </w:rPr>
      </w:pPr>
      <w:r w:rsidRPr="00A30002">
        <w:rPr>
          <w:rFonts w:ascii="Bookman Old Style" w:hAnsi="Bookman Old Style"/>
          <w:i/>
          <w:iCs/>
          <w:sz w:val="22"/>
          <w:szCs w:val="22"/>
        </w:rPr>
        <w:t xml:space="preserve">Art. 144-bis </w:t>
      </w:r>
      <w:r w:rsidR="00407881">
        <w:rPr>
          <w:rFonts w:ascii="Bookman Old Style" w:hAnsi="Bookman Old Style"/>
          <w:i/>
          <w:iCs/>
          <w:sz w:val="22"/>
          <w:szCs w:val="22"/>
        </w:rPr>
        <w:t>(</w:t>
      </w:r>
      <w:r w:rsidRPr="00A30002">
        <w:rPr>
          <w:rFonts w:ascii="Bookman Old Style" w:hAnsi="Bookman Old Style"/>
          <w:i/>
          <w:iCs/>
          <w:sz w:val="22"/>
          <w:szCs w:val="22"/>
        </w:rPr>
        <w:t xml:space="preserve">Disposizioni sul Canone unico </w:t>
      </w:r>
      <w:r w:rsidR="00407881">
        <w:rPr>
          <w:rFonts w:ascii="Bookman Old Style" w:hAnsi="Bookman Old Style"/>
          <w:i/>
          <w:iCs/>
          <w:sz w:val="22"/>
          <w:szCs w:val="22"/>
        </w:rPr>
        <w:t xml:space="preserve">ex </w:t>
      </w:r>
      <w:r w:rsidRPr="00A30002">
        <w:rPr>
          <w:rFonts w:ascii="Bookman Old Style" w:hAnsi="Bookman Old Style"/>
          <w:i/>
          <w:iCs/>
          <w:sz w:val="22"/>
          <w:szCs w:val="22"/>
        </w:rPr>
        <w:t>L. 160/2019)</w:t>
      </w:r>
    </w:p>
    <w:p w14:paraId="16089A8C" w14:textId="77777777" w:rsidR="005207D9" w:rsidRPr="00A20489" w:rsidRDefault="005207D9" w:rsidP="005207D9">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1. Al comma 831-</w:t>
      </w:r>
      <w:r w:rsidRPr="00A20489">
        <w:rPr>
          <w:rFonts w:ascii="Bookman Old Style" w:eastAsia="Times New Roman" w:hAnsi="Bookman Old Style" w:cs="Segoe UI"/>
          <w:i/>
          <w:iCs/>
          <w:lang w:eastAsia="it-IT"/>
        </w:rPr>
        <w:t xml:space="preserve">bis </w:t>
      </w:r>
      <w:r w:rsidRPr="00A20489">
        <w:rPr>
          <w:rFonts w:ascii="Bookman Old Style" w:eastAsia="Times New Roman" w:hAnsi="Bookman Old Style" w:cs="Segoe UI"/>
          <w:lang w:eastAsia="it-IT"/>
        </w:rPr>
        <w:t>dell’articolo 1 della legge 27 dicembre 2019, n. 160, le parole “</w:t>
      </w:r>
      <w:r w:rsidRPr="00A20489">
        <w:rPr>
          <w:rFonts w:ascii="Bookman Old Style" w:eastAsia="Times New Roman" w:hAnsi="Bookman Old Style" w:cs="Segoe UI"/>
          <w:i/>
          <w:iCs/>
          <w:color w:val="000000"/>
          <w:lang w:eastAsia="it-IT"/>
        </w:rPr>
        <w:t>pari a 800 euro per ogni impianto insistente sul territorio di ciascun ente</w:t>
      </w:r>
      <w:r w:rsidRPr="00A20489">
        <w:rPr>
          <w:rFonts w:ascii="Bookman Old Style" w:eastAsia="Times New Roman" w:hAnsi="Bookman Old Style" w:cs="Segoe UI"/>
          <w:color w:val="000000"/>
          <w:lang w:eastAsia="it-IT"/>
        </w:rPr>
        <w:t>” sono sostituite con le seguenti:</w:t>
      </w:r>
      <w:r w:rsidRPr="00A20489">
        <w:rPr>
          <w:rFonts w:ascii="Times New Roman" w:eastAsia="Times New Roman" w:hAnsi="Times New Roman" w:cs="Times New Roman"/>
          <w:color w:val="000000"/>
          <w:lang w:eastAsia="it-IT"/>
        </w:rPr>
        <w:t>    </w:t>
      </w:r>
      <w:r w:rsidRPr="00A20489">
        <w:rPr>
          <w:rFonts w:ascii="Bookman Old Style" w:eastAsia="Times New Roman" w:hAnsi="Bookman Old Style" w:cs="Segoe UI"/>
          <w:color w:val="000000"/>
          <w:lang w:eastAsia="it-IT"/>
        </w:rPr>
        <w:t> </w:t>
      </w:r>
    </w:p>
    <w:p w14:paraId="631DBC0F" w14:textId="77777777" w:rsidR="005207D9" w:rsidRPr="00A20489" w:rsidRDefault="005207D9" w:rsidP="005207D9">
      <w:pPr>
        <w:spacing w:after="80"/>
        <w:ind w:left="27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color w:val="000000"/>
          <w:lang w:eastAsia="it-IT"/>
        </w:rPr>
        <w:t>“da calcolarsi sulla base di una tariffa di 350 euro per metro quadrato fino ad una superficie dell’impianto non superiore a 20 metri quadrati. Per le superfici eccedenti i 20 metri quadrati la misura di cui al periodo precedente è ridotta al 10 per cento. In caso di sito condiviso da più di un gestore (</w:t>
      </w:r>
      <w:r w:rsidRPr="00A20489">
        <w:rPr>
          <w:rFonts w:ascii="Bookman Old Style" w:eastAsia="Times New Roman" w:hAnsi="Bookman Old Style" w:cs="Segoe UI"/>
          <w:i/>
          <w:iCs/>
          <w:color w:val="000000"/>
          <w:lang w:eastAsia="it-IT"/>
        </w:rPr>
        <w:t>co-siting</w:t>
      </w:r>
      <w:r w:rsidRPr="00A20489">
        <w:rPr>
          <w:rFonts w:ascii="Bookman Old Style" w:eastAsia="Times New Roman" w:hAnsi="Bookman Old Style" w:cs="Segoe UI"/>
          <w:color w:val="000000"/>
          <w:lang w:eastAsia="it-IT"/>
        </w:rPr>
        <w:t xml:space="preserve">), il canone annuo risultante dai periodi precedenti è ridotto, per ciascun operatore, del 50 per cento”. </w:t>
      </w:r>
      <w:r w:rsidRPr="00A20489">
        <w:rPr>
          <w:rFonts w:ascii="Times New Roman" w:eastAsia="Times New Roman" w:hAnsi="Times New Roman" w:cs="Times New Roman"/>
          <w:color w:val="000000"/>
          <w:lang w:eastAsia="it-IT"/>
        </w:rPr>
        <w:t>    </w:t>
      </w:r>
      <w:r w:rsidRPr="00A20489">
        <w:rPr>
          <w:rFonts w:ascii="Bookman Old Style" w:eastAsia="Times New Roman" w:hAnsi="Bookman Old Style" w:cs="Segoe UI"/>
          <w:color w:val="000000"/>
          <w:lang w:eastAsia="it-IT"/>
        </w:rPr>
        <w:t> </w:t>
      </w:r>
    </w:p>
    <w:p w14:paraId="3765F9F2" w14:textId="77777777" w:rsidR="005207D9" w:rsidRPr="00A20489" w:rsidRDefault="005207D9" w:rsidP="005207D9">
      <w:pPr>
        <w:spacing w:after="80"/>
        <w:jc w:val="center"/>
        <w:textAlignment w:val="baseline"/>
        <w:rPr>
          <w:rFonts w:ascii="Bookman Old Style" w:eastAsia="Times New Roman" w:hAnsi="Bookman Old Style" w:cs="Segoe UI"/>
          <w:lang w:eastAsia="it-IT"/>
        </w:rPr>
      </w:pPr>
      <w:r w:rsidRPr="00A20489">
        <w:rPr>
          <w:rFonts w:ascii="Bookman Old Style" w:eastAsia="Times New Roman" w:hAnsi="Bookman Old Style" w:cs="Segoe UI"/>
          <w:b/>
          <w:bCs/>
          <w:color w:val="000000"/>
          <w:lang w:eastAsia="it-IT"/>
        </w:rPr>
        <w:t>Motivazione</w:t>
      </w:r>
      <w:r w:rsidRPr="00A20489">
        <w:rPr>
          <w:rFonts w:ascii="Times New Roman" w:eastAsia="Times New Roman" w:hAnsi="Times New Roman" w:cs="Times New Roman"/>
          <w:color w:val="000000"/>
          <w:lang w:eastAsia="it-IT"/>
        </w:rPr>
        <w:t>    </w:t>
      </w:r>
      <w:r w:rsidRPr="00A20489">
        <w:rPr>
          <w:rFonts w:ascii="Bookman Old Style" w:eastAsia="Times New Roman" w:hAnsi="Bookman Old Style" w:cs="Segoe UI"/>
          <w:color w:val="000000"/>
          <w:lang w:eastAsia="it-IT"/>
        </w:rPr>
        <w:t> </w:t>
      </w:r>
    </w:p>
    <w:p w14:paraId="5ED28EDE" w14:textId="77777777" w:rsidR="008871A4" w:rsidRDefault="005207D9" w:rsidP="008871A4">
      <w:pPr>
        <w:spacing w:after="80"/>
        <w:jc w:val="both"/>
        <w:textAlignment w:val="baseline"/>
        <w:rPr>
          <w:rFonts w:ascii="Times New Roman" w:eastAsia="Times New Roman" w:hAnsi="Times New Roman" w:cs="Times New Roman"/>
          <w:lang w:eastAsia="it-IT"/>
        </w:rPr>
      </w:pPr>
      <w:r w:rsidRPr="00A20489">
        <w:rPr>
          <w:rFonts w:ascii="Bookman Old Style" w:eastAsia="Times New Roman" w:hAnsi="Bookman Old Style" w:cs="Segoe UI"/>
          <w:i/>
          <w:iCs/>
          <w:lang w:eastAsia="it-IT"/>
        </w:rPr>
        <w:t>La proposta normativa corregge la criticità emersa con la recente introduzione del comma 831-bis nella legge 160/2019, istitutiva del Canone unico. La tariffa forfetaria di 800 euro indipendentemente dalla superficie occupata appare all'evidenza illogica e discriminatoria, nonché gravemente impattante sul gettito dei Comuni, peraltro già determinato con i regolamenti del Canone unico adottati nel 2021.</w:t>
      </w:r>
      <w:r w:rsidRPr="00A20489">
        <w:rPr>
          <w:rFonts w:ascii="Times New Roman" w:eastAsia="Times New Roman" w:hAnsi="Times New Roman" w:cs="Times New Roman"/>
          <w:i/>
          <w:iCs/>
          <w:lang w:eastAsia="it-IT"/>
        </w:rPr>
        <w:t> </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i/>
          <w:iCs/>
          <w:lang w:eastAsia="it-IT"/>
        </w:rPr>
        <w:t>La norma proposta introduce, invece, forme pur semplificate di commisurazione della tariffa in proporzione della superficie.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i/>
          <w:iCs/>
          <w:lang w:eastAsia="it-IT"/>
        </w:rPr>
        <w:t>Il livello del prelievo su un impianto-tipo, che si può collocare su una superficie di 45 metri quadrati, si manterrebbe al di sotto di 8mila euro, livello comunque significativamente inferiore non solo alle tariffe correntemente applicate dai Comuni anche nel pregresso regime di Cosap/Tosap, ma del valore dell’affitto del sito nel caso di aree private.</w:t>
      </w:r>
      <w:r w:rsidRPr="00A20489">
        <w:rPr>
          <w:rFonts w:ascii="Times New Roman" w:eastAsia="Times New Roman" w:hAnsi="Times New Roman" w:cs="Times New Roman"/>
          <w:lang w:eastAsia="it-IT"/>
        </w:rPr>
        <w:t> </w:t>
      </w:r>
    </w:p>
    <w:p w14:paraId="643E7B30" w14:textId="5055F21B" w:rsidR="005128F2" w:rsidRPr="008871A4" w:rsidRDefault="005207D9"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2" w:name="_Toc121214253"/>
      <w:r w:rsidRPr="00C605AD">
        <w:rPr>
          <w:rFonts w:ascii="Times New Roman" w:hAnsi="Times New Roman" w:cs="Times New Roman"/>
          <w:b/>
          <w:bCs/>
          <w:color w:val="2F5496" w:themeColor="accent1" w:themeShade="BF"/>
          <w:sz w:val="22"/>
          <w:szCs w:val="22"/>
        </w:rPr>
        <w:t> </w:t>
      </w:r>
      <w:r w:rsidR="006B1DF3" w:rsidRPr="00C605AD">
        <w:rPr>
          <w:rFonts w:ascii="Bookman Old Style" w:hAnsi="Bookman Old Style"/>
          <w:b/>
          <w:bCs/>
          <w:color w:val="2F5496" w:themeColor="accent1" w:themeShade="BF"/>
          <w:sz w:val="22"/>
          <w:szCs w:val="22"/>
        </w:rPr>
        <w:t>Comandi</w:t>
      </w:r>
      <w:r w:rsidR="006B1DF3" w:rsidRPr="008871A4">
        <w:rPr>
          <w:rFonts w:ascii="Bookman Old Style" w:hAnsi="Bookman Old Style"/>
          <w:b/>
          <w:bCs/>
          <w:color w:val="2F5496" w:themeColor="accent1" w:themeShade="BF"/>
          <w:sz w:val="22"/>
          <w:szCs w:val="22"/>
        </w:rPr>
        <w:t xml:space="preserve"> e distacchi di personale</w:t>
      </w:r>
      <w:r w:rsidR="005128F2" w:rsidRPr="008871A4">
        <w:rPr>
          <w:rFonts w:ascii="Bookman Old Style" w:hAnsi="Bookman Old Style"/>
          <w:b/>
          <w:bCs/>
          <w:color w:val="2F5496" w:themeColor="accent1" w:themeShade="BF"/>
          <w:sz w:val="22"/>
          <w:szCs w:val="22"/>
        </w:rPr>
        <w:t xml:space="preserve"> **</w:t>
      </w:r>
      <w:bookmarkEnd w:id="12"/>
    </w:p>
    <w:p w14:paraId="06B0DE07" w14:textId="303AE11E" w:rsidR="005128F2" w:rsidRPr="00A20489" w:rsidRDefault="005128F2" w:rsidP="005128F2">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64 aggiungere il seguente art. 64</w:t>
      </w:r>
      <w:r w:rsidR="008119C9">
        <w:rPr>
          <w:rFonts w:ascii="Bookman Old Style" w:hAnsi="Bookman Old Style"/>
          <w:i/>
          <w:iCs/>
          <w:sz w:val="22"/>
          <w:szCs w:val="22"/>
        </w:rPr>
        <w:t>-</w:t>
      </w:r>
      <w:r w:rsidRPr="00A20489">
        <w:rPr>
          <w:rFonts w:ascii="Bookman Old Style" w:hAnsi="Bookman Old Style"/>
          <w:i/>
          <w:iCs/>
          <w:sz w:val="22"/>
          <w:szCs w:val="22"/>
        </w:rPr>
        <w:t>bis</w:t>
      </w:r>
    </w:p>
    <w:p w14:paraId="391EA5E1" w14:textId="6CF7B21E" w:rsidR="008119C9" w:rsidRPr="00DA23AE" w:rsidRDefault="008119C9" w:rsidP="005128F2">
      <w:pPr>
        <w:spacing w:after="80"/>
        <w:jc w:val="both"/>
        <w:rPr>
          <w:rFonts w:ascii="Bookman Old Style" w:hAnsi="Bookman Old Style"/>
          <w:i/>
          <w:iCs/>
        </w:rPr>
      </w:pPr>
      <w:r w:rsidRPr="00DA23AE">
        <w:rPr>
          <w:rFonts w:ascii="Bookman Old Style" w:hAnsi="Bookman Old Style"/>
          <w:i/>
          <w:iCs/>
        </w:rPr>
        <w:t>Art. 64-bis (</w:t>
      </w:r>
      <w:r w:rsidR="00DA23AE">
        <w:rPr>
          <w:rFonts w:ascii="Bookman Old Style" w:hAnsi="Bookman Old Style"/>
          <w:i/>
          <w:iCs/>
        </w:rPr>
        <w:t>C</w:t>
      </w:r>
      <w:r w:rsidRPr="00DA23AE">
        <w:rPr>
          <w:rFonts w:ascii="Bookman Old Style" w:hAnsi="Bookman Old Style"/>
          <w:i/>
          <w:iCs/>
        </w:rPr>
        <w:t xml:space="preserve">omandi e distacchi del personale </w:t>
      </w:r>
      <w:r w:rsidR="00DA23AE" w:rsidRPr="00DA23AE">
        <w:rPr>
          <w:rFonts w:ascii="Bookman Old Style" w:hAnsi="Bookman Old Style"/>
          <w:i/>
          <w:iCs/>
        </w:rPr>
        <w:t>degli enti locali)</w:t>
      </w:r>
    </w:p>
    <w:p w14:paraId="712835C9" w14:textId="5E77E87B" w:rsidR="005128F2" w:rsidRPr="00A20489" w:rsidRDefault="005128F2" w:rsidP="005128F2">
      <w:pPr>
        <w:spacing w:after="80"/>
        <w:jc w:val="both"/>
        <w:rPr>
          <w:rFonts w:ascii="Bookman Old Style" w:hAnsi="Bookman Old Style"/>
        </w:rPr>
      </w:pPr>
      <w:r w:rsidRPr="00A20489">
        <w:rPr>
          <w:rFonts w:ascii="Bookman Old Style" w:hAnsi="Bookman Old Style"/>
        </w:rPr>
        <w:t>All’articolo 30, comma 1-quinquies, del decreto legislativo 30 marzo 2001, n. 165, sostituire le parole: ", o presso le Unioni di comuni per i Comuni che ne fanno parte" con le seguenti: ", o, per gli enti locali, ai comandi o distacchi motivati da esigenze temporanee fino a 12 mesi, o da esigenze sostitutive di posizioni relative a funzioni infungibili ovvero personale comandato o distaccato in base a disposizioni di legge. La disposizione di cui al primo periodo non si applica altresì ai comandi o distacchi presso le Unioni di Comuni o le convenzioni di cui all'articolo 30 del decreto legislativo 18 agosto 2000, n. 267, per i Comuni che ne fanno parte. Per i Comuni e le Città Metropolitane la percentuale individuata al primo periodo è riferita al numero complessivo di posti non coperti nella dotazione organica."</w:t>
      </w:r>
    </w:p>
    <w:p w14:paraId="2EA45D9A" w14:textId="77777777" w:rsidR="005128F2" w:rsidRPr="00A20489" w:rsidRDefault="005128F2" w:rsidP="005128F2">
      <w:pPr>
        <w:spacing w:after="80"/>
        <w:jc w:val="center"/>
        <w:rPr>
          <w:rFonts w:ascii="Bookman Old Style" w:hAnsi="Bookman Old Style"/>
          <w:b/>
          <w:bCs/>
        </w:rPr>
      </w:pPr>
      <w:r w:rsidRPr="00A20489">
        <w:rPr>
          <w:rFonts w:ascii="Bookman Old Style" w:hAnsi="Bookman Old Style"/>
          <w:b/>
          <w:bCs/>
        </w:rPr>
        <w:t>Motivazione</w:t>
      </w:r>
    </w:p>
    <w:p w14:paraId="72A7A0E7" w14:textId="77777777" w:rsidR="005128F2" w:rsidRPr="00A20489" w:rsidRDefault="005128F2" w:rsidP="005128F2">
      <w:pPr>
        <w:spacing w:after="80"/>
        <w:jc w:val="both"/>
        <w:rPr>
          <w:rFonts w:ascii="Bookman Old Style" w:hAnsi="Bookman Old Style"/>
          <w:i/>
          <w:iCs/>
        </w:rPr>
      </w:pPr>
      <w:r w:rsidRPr="00A20489">
        <w:rPr>
          <w:rFonts w:ascii="Bookman Old Style" w:hAnsi="Bookman Old Style"/>
          <w:i/>
          <w:iCs/>
        </w:rPr>
        <w:t>Il ricorso agli istituti del comando e del distacco da parte delle amministrazioni locali è motivato da esigenze di flessibilità organizzativa, che assumono di frequente una connotazione emergenziale, legata alla carenza di personale in organico e al continuo flusso in uscita del personale, per pensionamento (quello degli Enti locali è uno dei comparti con la più elevata età media del personale in servizio), o per processi di mobilità in uscita, non compensati dalle mobilità in entrata da altri comparti, in considerazione della minore attrattività degli Enti locali (minori livelli retributivi, maggiore esposizione al rischio di responsabilità amministrativo-contabile, collocazione territoriale dei comuni periferici) rispetto a Regioni e Ministeri.</w:t>
      </w:r>
    </w:p>
    <w:p w14:paraId="23D4B475" w14:textId="77777777" w:rsidR="005128F2" w:rsidRPr="00A20489" w:rsidRDefault="005128F2" w:rsidP="005128F2">
      <w:pPr>
        <w:spacing w:after="80"/>
        <w:jc w:val="both"/>
        <w:rPr>
          <w:rFonts w:ascii="Bookman Old Style" w:hAnsi="Bookman Old Style"/>
          <w:i/>
          <w:iCs/>
        </w:rPr>
      </w:pPr>
      <w:r w:rsidRPr="00A20489">
        <w:rPr>
          <w:rFonts w:ascii="Bookman Old Style" w:hAnsi="Bookman Old Style"/>
          <w:i/>
          <w:iCs/>
        </w:rPr>
        <w:t>La norma proposta ha quindi la finalità di garantire la continuità amministrativa di Comuni e Città metropolitane, estendendo le previsioni derogatorie alle esigenze temporanee fino a 12 mesi e a quelle sostitutive su funzioni infungibili, e a riferire la percentuale del 25% alle posizioni vacanti delle ormai esigue dotazioni organiche.</w:t>
      </w:r>
    </w:p>
    <w:p w14:paraId="321BADC5" w14:textId="77777777" w:rsidR="005128F2" w:rsidRPr="00A20489" w:rsidRDefault="005128F2" w:rsidP="005128F2">
      <w:pPr>
        <w:spacing w:after="80"/>
        <w:jc w:val="both"/>
        <w:rPr>
          <w:rFonts w:ascii="Bookman Old Style" w:hAnsi="Bookman Old Style"/>
          <w:i/>
          <w:iCs/>
        </w:rPr>
      </w:pPr>
      <w:r w:rsidRPr="00A20489">
        <w:rPr>
          <w:rFonts w:ascii="Bookman Old Style" w:hAnsi="Bookman Old Style"/>
          <w:i/>
          <w:iCs/>
        </w:rPr>
        <w:t>La norma non determina nuovi oneri per la finanza pubblica, in quanto, ampliando le possibilità di ricorrere a comandi e distacchi, riduce la necessità di ricorrere a nuove assunzioni a tempo indeterminato.</w:t>
      </w:r>
    </w:p>
    <w:p w14:paraId="188293D5" w14:textId="77777777" w:rsidR="005128F2" w:rsidRDefault="005128F2" w:rsidP="005128F2">
      <w:pPr>
        <w:pStyle w:val="Titolo2"/>
        <w:spacing w:before="0" w:after="80"/>
        <w:rPr>
          <w:rFonts w:ascii="Bookman Old Style" w:hAnsi="Bookman Old Style"/>
          <w:sz w:val="22"/>
          <w:szCs w:val="22"/>
        </w:rPr>
      </w:pPr>
    </w:p>
    <w:p w14:paraId="2EBD0FC1" w14:textId="77777777" w:rsidR="00671166" w:rsidRPr="00671166" w:rsidRDefault="00671166" w:rsidP="00671166"/>
    <w:p w14:paraId="646E18E2" w14:textId="6D594FEE" w:rsidR="005128F2" w:rsidRPr="00A20489" w:rsidRDefault="005128F2"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3" w:name="_Toc121214254"/>
      <w:r w:rsidRPr="00A20489">
        <w:rPr>
          <w:rFonts w:ascii="Bookman Old Style" w:hAnsi="Bookman Old Style"/>
          <w:b/>
          <w:bCs/>
          <w:color w:val="2F5496" w:themeColor="accent1" w:themeShade="BF"/>
          <w:sz w:val="22"/>
          <w:szCs w:val="22"/>
        </w:rPr>
        <w:t>Assunzioni a tempo determinato per l’attuazione del PNRR per i</w:t>
      </w:r>
      <w:r>
        <w:rPr>
          <w:rFonts w:ascii="Bookman Old Style" w:hAnsi="Bookman Old Style"/>
          <w:b/>
          <w:bCs/>
          <w:color w:val="2F5496" w:themeColor="accent1" w:themeShade="BF"/>
          <w:sz w:val="22"/>
          <w:szCs w:val="22"/>
        </w:rPr>
        <w:t xml:space="preserve"> Piccoli</w:t>
      </w:r>
      <w:r w:rsidRPr="00A20489">
        <w:rPr>
          <w:rFonts w:ascii="Bookman Old Style" w:hAnsi="Bookman Old Style"/>
          <w:b/>
          <w:bCs/>
          <w:color w:val="2F5496" w:themeColor="accent1" w:themeShade="BF"/>
          <w:sz w:val="22"/>
          <w:szCs w:val="22"/>
        </w:rPr>
        <w:t xml:space="preserve"> Comuni</w:t>
      </w:r>
      <w:r>
        <w:rPr>
          <w:rFonts w:ascii="Bookman Old Style" w:hAnsi="Bookman Old Style"/>
          <w:b/>
          <w:bCs/>
          <w:color w:val="2F5496" w:themeColor="accent1" w:themeShade="BF"/>
          <w:sz w:val="22"/>
          <w:szCs w:val="22"/>
        </w:rPr>
        <w:t xml:space="preserve">. </w:t>
      </w:r>
      <w:r w:rsidRPr="00F56158">
        <w:rPr>
          <w:rFonts w:ascii="Bookman Old Style" w:hAnsi="Bookman Old Style"/>
          <w:b/>
          <w:bCs/>
          <w:color w:val="2F5496" w:themeColor="accent1" w:themeShade="BF"/>
          <w:sz w:val="22"/>
          <w:szCs w:val="22"/>
        </w:rPr>
        <w:t>**</w:t>
      </w:r>
      <w:bookmarkEnd w:id="13"/>
    </w:p>
    <w:p w14:paraId="79CBE50C" w14:textId="3B73C340" w:rsidR="005128F2" w:rsidRPr="00A20489" w:rsidRDefault="005128F2" w:rsidP="005128F2">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64 aggiungere il seguente art. 64 bis</w:t>
      </w:r>
      <w:r w:rsidR="00E0536E">
        <w:rPr>
          <w:rFonts w:ascii="Bookman Old Style" w:hAnsi="Bookman Old Style"/>
          <w:i/>
          <w:iCs/>
          <w:sz w:val="22"/>
          <w:szCs w:val="22"/>
        </w:rPr>
        <w:t>:</w:t>
      </w:r>
    </w:p>
    <w:p w14:paraId="1E1F0475" w14:textId="7125351E" w:rsidR="005128F2" w:rsidRPr="00E0536E" w:rsidRDefault="00E0536E" w:rsidP="00E0536E">
      <w:pPr>
        <w:jc w:val="center"/>
        <w:rPr>
          <w:rFonts w:ascii="Bookman Old Style" w:hAnsi="Bookman Old Style"/>
          <w:i/>
          <w:iCs/>
        </w:rPr>
      </w:pPr>
      <w:r w:rsidRPr="00E0536E">
        <w:rPr>
          <w:rFonts w:ascii="Bookman Old Style" w:hAnsi="Bookman Old Style"/>
          <w:i/>
          <w:iCs/>
        </w:rPr>
        <w:t>Art. 64-bis (Assunzioni a tempo determinato nei piccoli comuni)</w:t>
      </w:r>
    </w:p>
    <w:p w14:paraId="26FAC32A" w14:textId="77777777" w:rsidR="005128F2" w:rsidRPr="00A20489" w:rsidRDefault="005128F2" w:rsidP="005128F2">
      <w:pPr>
        <w:spacing w:after="80"/>
        <w:jc w:val="both"/>
        <w:rPr>
          <w:rFonts w:ascii="Bookman Old Style" w:hAnsi="Bookman Old Style"/>
          <w:i/>
          <w:iCs/>
          <w:color w:val="474747"/>
          <w:shd w:val="clear" w:color="auto" w:fill="FFFFFF"/>
        </w:rPr>
      </w:pPr>
      <w:r w:rsidRPr="00A20489">
        <w:rPr>
          <w:rFonts w:ascii="Bookman Old Style" w:hAnsi="Bookman Old Style"/>
          <w:i/>
          <w:iCs/>
          <w:color w:val="474747"/>
          <w:shd w:val="clear" w:color="auto" w:fill="FFFFFF"/>
        </w:rPr>
        <w:t xml:space="preserve">1. All’articolo </w:t>
      </w:r>
      <w:bookmarkStart w:id="14" w:name="_Hlk118465914"/>
      <w:r w:rsidRPr="00A20489">
        <w:rPr>
          <w:rFonts w:ascii="Bookman Old Style" w:hAnsi="Bookman Old Style"/>
          <w:i/>
          <w:iCs/>
          <w:color w:val="474747"/>
          <w:shd w:val="clear" w:color="auto" w:fill="FFFFFF"/>
        </w:rPr>
        <w:t>31 bis del decreto-legge 6 novembre 2021, n. 152, come convertito dalla legge 29 dicembre 2021, n. 233</w:t>
      </w:r>
      <w:bookmarkEnd w:id="14"/>
      <w:r w:rsidRPr="00A20489">
        <w:rPr>
          <w:rFonts w:ascii="Bookman Old Style" w:hAnsi="Bookman Old Style"/>
          <w:i/>
          <w:iCs/>
          <w:color w:val="474747"/>
          <w:shd w:val="clear" w:color="auto" w:fill="FFFFFF"/>
        </w:rPr>
        <w:t xml:space="preserve">, sono apportate le seguenti modificazioni: </w:t>
      </w:r>
    </w:p>
    <w:p w14:paraId="7D1DE0BF" w14:textId="77777777" w:rsidR="005128F2" w:rsidRPr="00A20489" w:rsidRDefault="005128F2" w:rsidP="005128F2">
      <w:pPr>
        <w:spacing w:after="80"/>
        <w:jc w:val="both"/>
        <w:rPr>
          <w:rFonts w:ascii="Bookman Old Style" w:hAnsi="Bookman Old Style"/>
          <w:i/>
          <w:iCs/>
          <w:color w:val="474747"/>
          <w:shd w:val="clear" w:color="auto" w:fill="FFFFFF"/>
        </w:rPr>
      </w:pPr>
      <w:r w:rsidRPr="00A20489">
        <w:rPr>
          <w:rFonts w:ascii="Bookman Old Style" w:hAnsi="Bookman Old Style"/>
          <w:i/>
          <w:iCs/>
          <w:color w:val="474747"/>
          <w:shd w:val="clear" w:color="auto" w:fill="FFFFFF"/>
        </w:rPr>
        <w:t>a) al comma 5, primo periodo, sostituire le parole “</w:t>
      </w:r>
      <w:r w:rsidRPr="00A20489">
        <w:rPr>
          <w:rFonts w:ascii="Bookman Old Style" w:hAnsi="Bookman Old Style"/>
          <w:color w:val="474747"/>
          <w:shd w:val="clear" w:color="auto" w:fill="FFFFFF"/>
        </w:rPr>
        <w:t>inferiore a 5.000 abitanti</w:t>
      </w:r>
      <w:r w:rsidRPr="00A20489">
        <w:rPr>
          <w:rFonts w:ascii="Bookman Old Style" w:hAnsi="Bookman Old Style"/>
          <w:i/>
          <w:iCs/>
          <w:color w:val="474747"/>
          <w:shd w:val="clear" w:color="auto" w:fill="FFFFFF"/>
        </w:rPr>
        <w:t>” con le seguenti parole “</w:t>
      </w:r>
      <w:r w:rsidRPr="00A20489">
        <w:rPr>
          <w:rFonts w:ascii="Bookman Old Style" w:hAnsi="Bookman Old Style"/>
          <w:color w:val="474747"/>
          <w:shd w:val="clear" w:color="auto" w:fill="FFFFFF"/>
        </w:rPr>
        <w:t>fino a 10.000 abitanti</w:t>
      </w:r>
      <w:r w:rsidRPr="00A20489">
        <w:rPr>
          <w:rFonts w:ascii="Bookman Old Style" w:hAnsi="Bookman Old Style"/>
          <w:i/>
          <w:iCs/>
          <w:color w:val="474747"/>
          <w:shd w:val="clear" w:color="auto" w:fill="FFFFFF"/>
        </w:rPr>
        <w:t>”, e le parole “</w:t>
      </w:r>
      <w:r w:rsidRPr="00A20489">
        <w:rPr>
          <w:rFonts w:ascii="Bookman Old Style" w:hAnsi="Bookman Old Style"/>
          <w:color w:val="474747"/>
          <w:shd w:val="clear" w:color="auto" w:fill="FFFFFF"/>
        </w:rPr>
        <w:t>30 milioni di euro annui</w:t>
      </w:r>
      <w:r w:rsidRPr="00A20489">
        <w:rPr>
          <w:rFonts w:ascii="Bookman Old Style" w:hAnsi="Bookman Old Style"/>
          <w:i/>
          <w:iCs/>
          <w:color w:val="474747"/>
          <w:shd w:val="clear" w:color="auto" w:fill="FFFFFF"/>
        </w:rPr>
        <w:t>” con le seguenti: “</w:t>
      </w:r>
      <w:r w:rsidRPr="00A20489">
        <w:rPr>
          <w:rFonts w:ascii="Bookman Old Style" w:hAnsi="Bookman Old Style"/>
          <w:color w:val="474747"/>
          <w:shd w:val="clear" w:color="auto" w:fill="FFFFFF"/>
        </w:rPr>
        <w:t>50 milioni di euro annui</w:t>
      </w:r>
      <w:r w:rsidRPr="00A20489">
        <w:rPr>
          <w:rFonts w:ascii="Bookman Old Style" w:hAnsi="Bookman Old Style"/>
          <w:i/>
          <w:iCs/>
          <w:color w:val="474747"/>
          <w:shd w:val="clear" w:color="auto" w:fill="FFFFFF"/>
        </w:rPr>
        <w:t>”;</w:t>
      </w:r>
    </w:p>
    <w:p w14:paraId="7E43EBF4" w14:textId="77777777" w:rsidR="005128F2" w:rsidRPr="00A20489" w:rsidRDefault="005128F2" w:rsidP="005128F2">
      <w:pPr>
        <w:spacing w:after="80"/>
        <w:jc w:val="both"/>
        <w:rPr>
          <w:rFonts w:ascii="Bookman Old Style" w:hAnsi="Bookman Old Style"/>
          <w:i/>
          <w:iCs/>
          <w:color w:val="474747"/>
          <w:shd w:val="clear" w:color="auto" w:fill="FFFFFF"/>
        </w:rPr>
      </w:pPr>
      <w:r w:rsidRPr="00A20489">
        <w:rPr>
          <w:rFonts w:ascii="Bookman Old Style" w:hAnsi="Bookman Old Style"/>
          <w:i/>
          <w:iCs/>
          <w:color w:val="474747"/>
          <w:shd w:val="clear" w:color="auto" w:fill="FFFFFF"/>
        </w:rPr>
        <w:t>b) al comma 6, sostituire le parole “</w:t>
      </w:r>
      <w:r w:rsidRPr="00A20489">
        <w:rPr>
          <w:rFonts w:ascii="Bookman Old Style" w:hAnsi="Bookman Old Style"/>
          <w:color w:val="474747"/>
          <w:shd w:val="clear" w:color="auto" w:fill="FFFFFF"/>
        </w:rPr>
        <w:t>30 milioni di euro annui</w:t>
      </w:r>
      <w:r w:rsidRPr="00A20489">
        <w:rPr>
          <w:rFonts w:ascii="Bookman Old Style" w:hAnsi="Bookman Old Style"/>
          <w:i/>
          <w:iCs/>
          <w:color w:val="474747"/>
          <w:shd w:val="clear" w:color="auto" w:fill="FFFFFF"/>
        </w:rPr>
        <w:t>” con le seguenti: “</w:t>
      </w:r>
      <w:r w:rsidRPr="00A20489">
        <w:rPr>
          <w:rFonts w:ascii="Bookman Old Style" w:hAnsi="Bookman Old Style"/>
          <w:color w:val="474747"/>
          <w:shd w:val="clear" w:color="auto" w:fill="FFFFFF"/>
        </w:rPr>
        <w:t>50 milioni di euro annui</w:t>
      </w:r>
      <w:r w:rsidRPr="00A20489">
        <w:rPr>
          <w:rFonts w:ascii="Bookman Old Style" w:hAnsi="Bookman Old Style"/>
          <w:i/>
          <w:iCs/>
          <w:color w:val="474747"/>
          <w:shd w:val="clear" w:color="auto" w:fill="FFFFFF"/>
        </w:rPr>
        <w:t>”.</w:t>
      </w:r>
    </w:p>
    <w:p w14:paraId="0EBFF77D" w14:textId="77777777" w:rsidR="005128F2" w:rsidRPr="00A20489" w:rsidRDefault="005128F2" w:rsidP="005128F2">
      <w:pPr>
        <w:spacing w:after="80"/>
        <w:jc w:val="both"/>
        <w:rPr>
          <w:rFonts w:ascii="Bookman Old Style" w:hAnsi="Bookman Old Style"/>
          <w:i/>
          <w:iCs/>
          <w:color w:val="474747"/>
          <w:shd w:val="clear" w:color="auto" w:fill="FFFFFF"/>
        </w:rPr>
      </w:pPr>
      <w:r w:rsidRPr="00A20489">
        <w:rPr>
          <w:rFonts w:ascii="Bookman Old Style" w:hAnsi="Bookman Old Style"/>
          <w:i/>
          <w:iCs/>
          <w:color w:val="474747"/>
          <w:shd w:val="clear" w:color="auto" w:fill="FFFFFF"/>
        </w:rPr>
        <w:t>2. All’art. 35-bis del decreto-legge 9 agosto 2022, n. 115, come convertito dalla legge 21 settembre 2022, n. 142, dopo le parole: “</w:t>
      </w:r>
      <w:r w:rsidRPr="00A20489">
        <w:rPr>
          <w:rFonts w:ascii="Bookman Old Style" w:hAnsi="Bookman Old Style"/>
          <w:color w:val="474747"/>
          <w:shd w:val="clear" w:color="auto" w:fill="FFFFFF"/>
        </w:rPr>
        <w:t>convertito, con modificazioni, dalla legge 6 agosto 2021, n. 113</w:t>
      </w:r>
      <w:r w:rsidRPr="00A20489">
        <w:rPr>
          <w:rFonts w:ascii="Bookman Old Style" w:hAnsi="Bookman Old Style"/>
          <w:i/>
          <w:iCs/>
          <w:color w:val="474747"/>
          <w:shd w:val="clear" w:color="auto" w:fill="FFFFFF"/>
        </w:rPr>
        <w:t>” sono inserite le seguenti: “</w:t>
      </w:r>
      <w:r w:rsidRPr="00A20489">
        <w:rPr>
          <w:rFonts w:ascii="Bookman Old Style" w:hAnsi="Bookman Old Style"/>
          <w:color w:val="474747"/>
          <w:shd w:val="clear" w:color="auto" w:fill="FFFFFF"/>
        </w:rPr>
        <w:t>e ai sensi dell’articolo 31 bis del decreto-legge 6 novembre 2021, n. 152, come convertito dalla legge 29 dicembre 2021, n. 233</w:t>
      </w:r>
      <w:r w:rsidRPr="00A20489">
        <w:rPr>
          <w:rFonts w:ascii="Bookman Old Style" w:hAnsi="Bookman Old Style"/>
          <w:i/>
          <w:iCs/>
          <w:color w:val="474747"/>
          <w:shd w:val="clear" w:color="auto" w:fill="FFFFFF"/>
        </w:rPr>
        <w:t>”.</w:t>
      </w:r>
    </w:p>
    <w:p w14:paraId="75863605" w14:textId="77777777" w:rsidR="005128F2" w:rsidRPr="00A20489" w:rsidRDefault="005128F2" w:rsidP="005128F2">
      <w:pPr>
        <w:spacing w:after="80"/>
        <w:jc w:val="center"/>
        <w:rPr>
          <w:rFonts w:ascii="Bookman Old Style" w:hAnsi="Bookman Old Style"/>
          <w:b/>
          <w:bCs/>
          <w:color w:val="474747"/>
          <w:shd w:val="clear" w:color="auto" w:fill="FFFFFF"/>
        </w:rPr>
      </w:pPr>
      <w:r w:rsidRPr="00A20489">
        <w:rPr>
          <w:rFonts w:ascii="Bookman Old Style" w:hAnsi="Bookman Old Style"/>
          <w:b/>
          <w:bCs/>
          <w:color w:val="474747"/>
          <w:shd w:val="clear" w:color="auto" w:fill="FFFFFF"/>
        </w:rPr>
        <w:t>Motivazione</w:t>
      </w:r>
    </w:p>
    <w:p w14:paraId="38D36630" w14:textId="77777777" w:rsidR="005128F2" w:rsidRPr="00A20489" w:rsidRDefault="005128F2" w:rsidP="005128F2">
      <w:pPr>
        <w:spacing w:after="80"/>
        <w:jc w:val="both"/>
        <w:rPr>
          <w:rFonts w:ascii="Bookman Old Style" w:hAnsi="Bookman Old Style"/>
          <w:i/>
          <w:iCs/>
          <w:color w:val="474747"/>
          <w:shd w:val="clear" w:color="auto" w:fill="FFFFFF"/>
        </w:rPr>
      </w:pPr>
      <w:r w:rsidRPr="00A20489">
        <w:rPr>
          <w:rFonts w:ascii="Bookman Old Style" w:hAnsi="Bookman Old Style"/>
          <w:i/>
          <w:iCs/>
          <w:color w:val="474747"/>
          <w:shd w:val="clear" w:color="auto" w:fill="FFFFFF"/>
        </w:rPr>
        <w:t>L’emendamento è necessario per estendere la misura volta al sostegno finanziario per le assunzioni straordinarie di personale a tempo determinato da destinare all’attuazione dei progetti del PNRR, introdotta dal DL 152/2021 a favore dei comuni con popolazione inferiore a 5.000 abitanti, anche ai comuni con popolazione fino a 10.000 abitanti, attuatori di progetti PNRR, per le assunzioni il cui costo non sarebbe sostenibile a valere sulle risorse disponibili nel bilancio degli enti. La copertura finanziaria è garantita dalla corrispondente riduzione del Fondo per interventi strutturali di politica economica, di cui all'articolo 10, comma 5, del decreto-legge 29 novembre 2004, n. 282, convertito, con modificazioni, dalla legge 27 dicembre 2004, n. 307.</w:t>
      </w:r>
    </w:p>
    <w:p w14:paraId="21040965" w14:textId="77777777" w:rsidR="005128F2" w:rsidRPr="00A20489" w:rsidRDefault="005128F2" w:rsidP="005128F2">
      <w:pPr>
        <w:spacing w:after="80"/>
        <w:jc w:val="both"/>
        <w:rPr>
          <w:rFonts w:ascii="Bookman Old Style" w:hAnsi="Bookman Old Style"/>
          <w:i/>
          <w:iCs/>
          <w:color w:val="474747"/>
          <w:shd w:val="clear" w:color="auto" w:fill="FFFFFF"/>
        </w:rPr>
      </w:pPr>
      <w:r w:rsidRPr="00A20489">
        <w:rPr>
          <w:rFonts w:ascii="Bookman Old Style" w:hAnsi="Bookman Old Style"/>
          <w:i/>
          <w:iCs/>
          <w:color w:val="474747"/>
          <w:shd w:val="clear" w:color="auto" w:fill="FFFFFF"/>
        </w:rPr>
        <w:t xml:space="preserve">Con l’emendamento si propone altresì di estendere ai Comuni la possibilità, prevista solo per le amministrazioni centrali, di valorizzare la professionalità acquisita dal personale assunto a tempo determinato per l’attuazione del PNRR attraverso la possibilità di procedere, con decorrenza non antecedente al 1° gennaio 2027, nei limiti dei posti disponibili della vigente dotazione organica, alla stabilizzazione nei propri ruoli del medesimo personale nella qualifica ricoperta alla scadenza del contratto a termine, previo colloquio e all'esito della valutazione positiva dell’attività lavorativa svolta. </w:t>
      </w:r>
    </w:p>
    <w:p w14:paraId="02C0853B" w14:textId="7665BAFC" w:rsidR="00B66950" w:rsidRDefault="00B66950">
      <w:pPr>
        <w:rPr>
          <w:rFonts w:ascii="Bookman Old Style" w:eastAsiaTheme="majorEastAsia" w:hAnsi="Bookman Old Style" w:cstheme="majorBidi"/>
          <w:b/>
          <w:bCs/>
          <w:color w:val="2F5496" w:themeColor="accent1" w:themeShade="BF"/>
        </w:rPr>
      </w:pPr>
    </w:p>
    <w:p w14:paraId="3D94FB26" w14:textId="181B7412" w:rsidR="005128F2" w:rsidRPr="00C605AD" w:rsidRDefault="005128F2"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5" w:name="_Toc121214255"/>
      <w:r w:rsidRPr="00C605AD">
        <w:rPr>
          <w:rFonts w:ascii="Bookman Old Style" w:hAnsi="Bookman Old Style"/>
          <w:b/>
          <w:bCs/>
          <w:color w:val="2F5496" w:themeColor="accent1" w:themeShade="BF"/>
          <w:sz w:val="22"/>
          <w:szCs w:val="22"/>
        </w:rPr>
        <w:t>Assunzioni di personale negli enti in riequilibrio finanziario pluriennale e in dissesto.**</w:t>
      </w:r>
      <w:bookmarkEnd w:id="15"/>
    </w:p>
    <w:p w14:paraId="4C7EAC9D" w14:textId="3D9337A0" w:rsidR="005128F2" w:rsidRPr="00A20489" w:rsidRDefault="005128F2" w:rsidP="005128F2">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64 aggiungere il seguente art. 64</w:t>
      </w:r>
      <w:r w:rsidR="00E0536E">
        <w:rPr>
          <w:rFonts w:ascii="Bookman Old Style" w:hAnsi="Bookman Old Style"/>
          <w:i/>
          <w:iCs/>
          <w:sz w:val="22"/>
          <w:szCs w:val="22"/>
        </w:rPr>
        <w:t>-</w:t>
      </w:r>
      <w:r w:rsidRPr="00A20489">
        <w:rPr>
          <w:rFonts w:ascii="Bookman Old Style" w:hAnsi="Bookman Old Style"/>
          <w:i/>
          <w:iCs/>
          <w:sz w:val="22"/>
          <w:szCs w:val="22"/>
        </w:rPr>
        <w:t>bis</w:t>
      </w:r>
    </w:p>
    <w:p w14:paraId="32B0EE1C" w14:textId="05FD3C72" w:rsidR="005128F2" w:rsidRPr="00152378" w:rsidRDefault="005128F2" w:rsidP="005128F2">
      <w:pPr>
        <w:spacing w:after="80"/>
        <w:jc w:val="both"/>
        <w:rPr>
          <w:rFonts w:ascii="Bookman Old Style" w:hAnsi="Bookman Old Style"/>
        </w:rPr>
      </w:pPr>
      <w:r w:rsidRPr="00152378">
        <w:rPr>
          <w:rFonts w:ascii="Bookman Old Style" w:hAnsi="Bookman Old Style"/>
        </w:rPr>
        <w:t>“Art</w:t>
      </w:r>
      <w:r w:rsidR="00873233">
        <w:rPr>
          <w:rFonts w:ascii="Bookman Old Style" w:hAnsi="Bookman Old Style"/>
        </w:rPr>
        <w:t xml:space="preserve">. </w:t>
      </w:r>
      <w:r>
        <w:rPr>
          <w:rFonts w:ascii="Bookman Old Style" w:hAnsi="Bookman Old Style"/>
        </w:rPr>
        <w:t>64</w:t>
      </w:r>
      <w:r w:rsidRPr="00152378">
        <w:rPr>
          <w:rFonts w:ascii="Bookman Old Style" w:hAnsi="Bookman Old Style"/>
        </w:rPr>
        <w:t xml:space="preserve">-bis </w:t>
      </w:r>
      <w:r w:rsidR="00873233">
        <w:rPr>
          <w:rFonts w:ascii="Bookman Old Style" w:hAnsi="Bookman Old Style"/>
        </w:rPr>
        <w:t>(</w:t>
      </w:r>
      <w:r w:rsidRPr="00152378">
        <w:rPr>
          <w:rFonts w:ascii="Bookman Old Style" w:hAnsi="Bookman Old Style"/>
        </w:rPr>
        <w:t>Assunzioni di personale negli enti strutturalmente deficitari, in riequilibrio finanziario pluriennale e in dissesto</w:t>
      </w:r>
      <w:r w:rsidR="00873233">
        <w:rPr>
          <w:rFonts w:ascii="Bookman Old Style" w:hAnsi="Bookman Old Style"/>
        </w:rPr>
        <w:t>)</w:t>
      </w:r>
    </w:p>
    <w:p w14:paraId="48AB714D" w14:textId="0BCEC0EC" w:rsidR="005128F2" w:rsidRPr="00152378" w:rsidRDefault="005128F2" w:rsidP="005128F2">
      <w:pPr>
        <w:spacing w:after="80"/>
        <w:jc w:val="both"/>
        <w:rPr>
          <w:rFonts w:ascii="Bookman Old Style" w:hAnsi="Bookman Old Style"/>
        </w:rPr>
      </w:pPr>
      <w:r w:rsidRPr="00152378">
        <w:rPr>
          <w:rFonts w:ascii="Bookman Old Style" w:hAnsi="Bookman Old Style"/>
        </w:rPr>
        <w:t xml:space="preserve">1. </w:t>
      </w:r>
      <w:r>
        <w:rPr>
          <w:rFonts w:ascii="Bookman Old Style" w:hAnsi="Bookman Old Style"/>
        </w:rPr>
        <w:t>Anche a</w:t>
      </w:r>
      <w:r w:rsidRPr="00152378">
        <w:rPr>
          <w:rFonts w:ascii="Bookman Old Style" w:hAnsi="Bookman Old Style"/>
        </w:rPr>
        <w:t>l fine di garantire l’attuazione dei progetti del PNRR, le assunzioni di personale a tempo indeterminato e a tempo determinato programmate dagli enti in dissesto finanziario, in riequilibrio finanziario pluriennale o strutturalmente deficitari, sottoposte all'approvazione della commissione per la stabilità finanziaria di cui all'articolo 155 del decreto legislativo 18 agosto 2000, n. 267 ed autorizzate per l’anno 2022, possono essere comunque perfezionate fino al 30 giugno 2023 anche in condizione di esercizio provvisorio.</w:t>
      </w:r>
      <w:r w:rsidR="00873233">
        <w:rPr>
          <w:rFonts w:ascii="Bookman Old Style" w:hAnsi="Bookman Old Style"/>
        </w:rPr>
        <w:t>”</w:t>
      </w:r>
    </w:p>
    <w:p w14:paraId="03609A9E" w14:textId="77777777" w:rsidR="005128F2" w:rsidRDefault="005128F2" w:rsidP="005128F2">
      <w:pPr>
        <w:spacing w:after="80"/>
        <w:jc w:val="center"/>
        <w:rPr>
          <w:b/>
          <w:bCs/>
        </w:rPr>
      </w:pPr>
      <w:r w:rsidRPr="006A21B5">
        <w:rPr>
          <w:rFonts w:ascii="Bookman Old Style" w:hAnsi="Bookman Old Style"/>
          <w:b/>
          <w:bCs/>
        </w:rPr>
        <w:t>Motivazione</w:t>
      </w:r>
    </w:p>
    <w:p w14:paraId="2C184098" w14:textId="77777777" w:rsidR="005128F2" w:rsidRPr="006A21B5" w:rsidRDefault="005128F2" w:rsidP="005128F2">
      <w:pPr>
        <w:spacing w:after="80"/>
        <w:jc w:val="both"/>
        <w:rPr>
          <w:rFonts w:ascii="Bookman Old Style" w:hAnsi="Bookman Old Style"/>
          <w:i/>
          <w:iCs/>
        </w:rPr>
      </w:pPr>
      <w:r w:rsidRPr="006A21B5">
        <w:rPr>
          <w:rFonts w:ascii="Bookman Old Style" w:hAnsi="Bookman Old Style"/>
          <w:i/>
          <w:iCs/>
        </w:rPr>
        <w:t>La norma è finalizzata a consentire ai comuni in condizione di squilibrio finanziario, che quindi sono sottoposti alla valutazione preventiva della Commissione per la stabilità finanziaria degli Enti locali (COSFEL), di procedere speditamente alle assunzioni di personale programmate ed autorizzate per l’anno 2022.</w:t>
      </w:r>
    </w:p>
    <w:p w14:paraId="3972CC9A" w14:textId="77777777" w:rsidR="005128F2" w:rsidRPr="006A21B5" w:rsidRDefault="005128F2" w:rsidP="005128F2">
      <w:pPr>
        <w:spacing w:after="80"/>
        <w:jc w:val="both"/>
        <w:rPr>
          <w:rFonts w:ascii="Bookman Old Style" w:hAnsi="Bookman Old Style"/>
          <w:i/>
          <w:iCs/>
        </w:rPr>
      </w:pPr>
      <w:r w:rsidRPr="006A21B5">
        <w:rPr>
          <w:rFonts w:ascii="Bookman Old Style" w:hAnsi="Bookman Old Style"/>
          <w:i/>
          <w:iCs/>
        </w:rPr>
        <w:t>In caso di mancata approvazione dell’emendamento, i Comuni interessati non potranno procedere a dette assunzioni, seppure già autorizzate, ma dovranno attendere una nuova autorizzazione della COSFEL, che però potranno richiedere solo dopo l’approvazione dei bilanci di previsione 2023.</w:t>
      </w:r>
    </w:p>
    <w:p w14:paraId="27F15581" w14:textId="77777777" w:rsidR="00EC11E4" w:rsidRPr="00A20489" w:rsidRDefault="00EC11E4" w:rsidP="00EC11E4">
      <w:pPr>
        <w:spacing w:after="80"/>
        <w:jc w:val="both"/>
        <w:rPr>
          <w:rFonts w:ascii="Bookman Old Style" w:hAnsi="Bookman Old Style"/>
          <w:i/>
          <w:iCs/>
        </w:rPr>
      </w:pPr>
    </w:p>
    <w:p w14:paraId="74532A7A" w14:textId="77777777" w:rsidR="00671166" w:rsidRDefault="00671166">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706A0F53" w14:textId="42669446" w:rsidR="00EC11E4" w:rsidRPr="00F56158" w:rsidRDefault="00EC11E4"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6" w:name="_Toc121214256"/>
      <w:r w:rsidRPr="00F56158">
        <w:rPr>
          <w:rFonts w:ascii="Bookman Old Style" w:hAnsi="Bookman Old Style"/>
          <w:b/>
          <w:bCs/>
          <w:color w:val="2F5496" w:themeColor="accent1" w:themeShade="BF"/>
          <w:sz w:val="22"/>
          <w:szCs w:val="22"/>
        </w:rPr>
        <w:t>Trasporto pubblico locale e trasporto rapido di massa (Art. 81) **</w:t>
      </w:r>
      <w:bookmarkEnd w:id="16"/>
    </w:p>
    <w:p w14:paraId="7A9EB3D2" w14:textId="77777777" w:rsidR="00EC11E4" w:rsidRPr="00171E0F" w:rsidRDefault="00EC11E4" w:rsidP="00A73662">
      <w:pPr>
        <w:spacing w:after="80"/>
        <w:rPr>
          <w:rFonts w:ascii="Bookman Old Style" w:hAnsi="Bookman Old Style"/>
          <w:b/>
          <w:bCs/>
        </w:rPr>
      </w:pPr>
      <w:r w:rsidRPr="00171E0F">
        <w:rPr>
          <w:rFonts w:ascii="Bookman Old Style" w:hAnsi="Bookman Old Style"/>
          <w:i/>
          <w:iCs/>
        </w:rPr>
        <w:t>All’articolo 81</w:t>
      </w:r>
    </w:p>
    <w:p w14:paraId="356578F9" w14:textId="77777777" w:rsidR="00EC11E4" w:rsidRPr="00171E0F" w:rsidRDefault="00EC11E4" w:rsidP="00A73662">
      <w:pPr>
        <w:spacing w:after="80"/>
        <w:rPr>
          <w:rFonts w:ascii="Bookman Old Style" w:hAnsi="Bookman Old Style"/>
        </w:rPr>
      </w:pPr>
      <w:r w:rsidRPr="00171E0F">
        <w:rPr>
          <w:rFonts w:ascii="Bookman Old Style" w:hAnsi="Bookman Old Style"/>
        </w:rPr>
        <w:t xml:space="preserve">1. dopo il comma 2, aggiungere il seguente comma: </w:t>
      </w:r>
    </w:p>
    <w:p w14:paraId="10DEC1B3" w14:textId="742A693E" w:rsidR="00EC11E4" w:rsidRPr="00171E0F" w:rsidRDefault="00EC11E4" w:rsidP="00A73662">
      <w:pPr>
        <w:spacing w:after="80"/>
        <w:jc w:val="both"/>
        <w:rPr>
          <w:rFonts w:ascii="Bookman Old Style" w:hAnsi="Bookman Old Style"/>
        </w:rPr>
      </w:pPr>
      <w:r w:rsidRPr="00171E0F">
        <w:rPr>
          <w:rFonts w:ascii="Bookman Old Style" w:hAnsi="Bookman Old Style"/>
        </w:rPr>
        <w:t xml:space="preserve">“Al fine di contribuire alla compensazione dei maggiori oneri effettivamente sostenuti per l’aumento del costo del carburante, è istituito presso il Ministero delle Infrastrutture e Trasporti un fondo straordinario per il TPL con capienza pari a 100 milioni di euro per l’anno 2023, 50 milioni di euro per ciascuno degli anni 2024 e 2025, da </w:t>
      </w:r>
      <w:r w:rsidR="00A636F3" w:rsidRPr="00171E0F">
        <w:rPr>
          <w:rFonts w:ascii="Bookman Old Style" w:hAnsi="Bookman Old Style"/>
        </w:rPr>
        <w:t xml:space="preserve">ripartire tra </w:t>
      </w:r>
      <w:r w:rsidRPr="00171E0F">
        <w:rPr>
          <w:rFonts w:ascii="Bookman Old Style" w:hAnsi="Bookman Old Style"/>
        </w:rPr>
        <w:t>le aziende di trasporto pubblico locale che operano nei Comuni Capoluogo sede di Città Metropolitane</w:t>
      </w:r>
      <w:r w:rsidR="00A636F3" w:rsidRPr="00171E0F">
        <w:rPr>
          <w:rFonts w:ascii="Bookman Old Style" w:hAnsi="Bookman Old Style"/>
        </w:rPr>
        <w:t>,</w:t>
      </w:r>
      <w:r w:rsidRPr="00171E0F">
        <w:rPr>
          <w:rFonts w:ascii="Bookman Old Style" w:hAnsi="Bookman Old Style"/>
        </w:rPr>
        <w:t xml:space="preserve"> sulla base dei contratti di servizio in essere. Entro trenta giorni dall’entrata in vigore della presente legge, con decreto del Ministero delle Infrastrutture e Trasporti, di concerto con il Ministero dell’Economia e Finanze, previa intesa in Conferenza Stato-Città ed autonomie locali, vengono fissati i criteri e le modalità per l’erogazione del </w:t>
      </w:r>
      <w:r w:rsidR="00AA6102" w:rsidRPr="00171E0F">
        <w:rPr>
          <w:rFonts w:ascii="Bookman Old Style" w:hAnsi="Bookman Old Style"/>
        </w:rPr>
        <w:t>fondo</w:t>
      </w:r>
      <w:r w:rsidRPr="00171E0F">
        <w:rPr>
          <w:rFonts w:ascii="Bookman Old Style" w:hAnsi="Bookman Old Style"/>
        </w:rPr>
        <w:t>.”</w:t>
      </w:r>
    </w:p>
    <w:p w14:paraId="4CB9B051" w14:textId="77777777" w:rsidR="00EC11E4" w:rsidRPr="00171E0F" w:rsidRDefault="00EC11E4" w:rsidP="00A73662">
      <w:pPr>
        <w:spacing w:after="80"/>
        <w:jc w:val="both"/>
        <w:rPr>
          <w:rFonts w:ascii="Bookman Old Style" w:hAnsi="Bookman Old Style"/>
        </w:rPr>
      </w:pPr>
    </w:p>
    <w:p w14:paraId="0AADE76D" w14:textId="60BE359B" w:rsidR="00EC11E4" w:rsidRPr="00171E0F" w:rsidRDefault="00EC11E4" w:rsidP="00A73662">
      <w:pPr>
        <w:spacing w:after="80"/>
        <w:jc w:val="both"/>
        <w:rPr>
          <w:rFonts w:ascii="Bookman Old Style" w:hAnsi="Bookman Old Style" w:cs="Times New Roman"/>
          <w:i/>
          <w:iCs/>
        </w:rPr>
      </w:pPr>
      <w:r w:rsidRPr="00171E0F">
        <w:rPr>
          <w:rFonts w:ascii="Bookman Old Style" w:hAnsi="Bookman Old Style" w:cs="Times New Roman"/>
          <w:i/>
          <w:iCs/>
        </w:rPr>
        <w:t>Conseguentemente il fondo di cui al comma 3 dell’articolo 152 del presente provvedimento è ridotto di 100 milioni di euro</w:t>
      </w:r>
      <w:r w:rsidR="00B62A9D" w:rsidRPr="00171E0F">
        <w:rPr>
          <w:rFonts w:ascii="Bookman Old Style" w:hAnsi="Bookman Old Style" w:cs="Times New Roman"/>
          <w:i/>
          <w:iCs/>
        </w:rPr>
        <w:t xml:space="preserve"> </w:t>
      </w:r>
      <w:r w:rsidRPr="00171E0F">
        <w:rPr>
          <w:rFonts w:ascii="Bookman Old Style" w:hAnsi="Bookman Old Style" w:cs="Times New Roman"/>
          <w:i/>
          <w:iCs/>
        </w:rPr>
        <w:t xml:space="preserve">per </w:t>
      </w:r>
      <w:r w:rsidR="00B62A9D" w:rsidRPr="00171E0F">
        <w:rPr>
          <w:rFonts w:ascii="Bookman Old Style" w:hAnsi="Bookman Old Style" w:cs="Times New Roman"/>
          <w:i/>
          <w:iCs/>
        </w:rPr>
        <w:t xml:space="preserve">il </w:t>
      </w:r>
      <w:r w:rsidRPr="00171E0F">
        <w:rPr>
          <w:rFonts w:ascii="Bookman Old Style" w:hAnsi="Bookman Old Style" w:cs="Times New Roman"/>
          <w:i/>
          <w:iCs/>
        </w:rPr>
        <w:t>2023</w:t>
      </w:r>
      <w:r w:rsidR="00B62A9D" w:rsidRPr="00171E0F">
        <w:rPr>
          <w:rFonts w:ascii="Bookman Old Style" w:hAnsi="Bookman Old Style" w:cs="Times New Roman"/>
          <w:i/>
          <w:iCs/>
        </w:rPr>
        <w:t xml:space="preserve"> e di 50 milioni di euro annui </w:t>
      </w:r>
      <w:r w:rsidRPr="00171E0F">
        <w:rPr>
          <w:rFonts w:ascii="Bookman Old Style" w:hAnsi="Bookman Old Style" w:cs="Times New Roman"/>
          <w:i/>
          <w:iCs/>
        </w:rPr>
        <w:t>per il 2024 e 2025.</w:t>
      </w:r>
    </w:p>
    <w:p w14:paraId="60D6C7CB" w14:textId="77777777" w:rsidR="00EC11E4" w:rsidRPr="00171E0F" w:rsidRDefault="00EC11E4" w:rsidP="00A73662">
      <w:pPr>
        <w:spacing w:after="80"/>
        <w:jc w:val="center"/>
        <w:rPr>
          <w:rFonts w:ascii="Bookman Old Style" w:hAnsi="Bookman Old Style" w:cs="Arial"/>
          <w:i/>
          <w:iCs/>
          <w:u w:val="single"/>
        </w:rPr>
      </w:pPr>
      <w:r w:rsidRPr="00171E0F">
        <w:rPr>
          <w:rFonts w:ascii="Bookman Old Style" w:eastAsia="SimSun" w:hAnsi="Bookman Old Style" w:cs="Lucida Sans"/>
          <w:b/>
          <w:bCs/>
          <w:i/>
          <w:iCs/>
          <w:kern w:val="1"/>
          <w:lang w:eastAsia="hi-IN" w:bidi="hi-IN"/>
        </w:rPr>
        <w:t>Motivazione</w:t>
      </w:r>
    </w:p>
    <w:p w14:paraId="2ABB8E1D" w14:textId="77777777" w:rsidR="00EC11E4" w:rsidRDefault="00EC11E4" w:rsidP="00A73662">
      <w:pPr>
        <w:autoSpaceDE w:val="0"/>
        <w:autoSpaceDN w:val="0"/>
        <w:adjustRightInd w:val="0"/>
        <w:spacing w:after="80"/>
        <w:jc w:val="both"/>
        <w:rPr>
          <w:rFonts w:ascii="Bookman Old Style" w:hAnsi="Bookman Old Style" w:cs="Times New Roman"/>
          <w:i/>
          <w:iCs/>
          <w:color w:val="000000"/>
          <w:w w:val="105"/>
        </w:rPr>
      </w:pPr>
      <w:r w:rsidRPr="00171E0F">
        <w:rPr>
          <w:rFonts w:ascii="Bookman Old Style" w:hAnsi="Bookman Old Style" w:cs="Times New Roman"/>
          <w:i/>
          <w:iCs/>
          <w:color w:val="000000"/>
          <w:w w:val="105"/>
        </w:rPr>
        <w:t>L’emendamento mira a compensare i maggiori costi del carburante sostenuti dalle aziende di trasporto pubblico locali che operano nei comuni capoluogo sede di Città metropolitane e che rischiano, altrimenti, di avere gravi perdite che si ripercuotono sui bilanci degli enti locali interessati.</w:t>
      </w:r>
    </w:p>
    <w:p w14:paraId="23CC5E11" w14:textId="77777777" w:rsidR="00671166" w:rsidRPr="00171E0F" w:rsidRDefault="00671166" w:rsidP="00A73662">
      <w:pPr>
        <w:autoSpaceDE w:val="0"/>
        <w:autoSpaceDN w:val="0"/>
        <w:adjustRightInd w:val="0"/>
        <w:spacing w:after="80"/>
        <w:jc w:val="both"/>
        <w:rPr>
          <w:rFonts w:ascii="Bookman Old Style" w:hAnsi="Bookman Old Style" w:cs="Times New Roman"/>
          <w:i/>
          <w:iCs/>
          <w:w w:val="105"/>
        </w:rPr>
      </w:pPr>
    </w:p>
    <w:p w14:paraId="0DA5F00F" w14:textId="66E41394" w:rsidR="00EC11E4" w:rsidRPr="00F56158" w:rsidRDefault="00D1252D"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7" w:name="_Toc121214257"/>
      <w:r>
        <w:rPr>
          <w:rFonts w:ascii="Bookman Old Style" w:hAnsi="Bookman Old Style"/>
          <w:b/>
          <w:bCs/>
          <w:color w:val="2F5496" w:themeColor="accent1" w:themeShade="BF"/>
          <w:sz w:val="22"/>
          <w:szCs w:val="22"/>
        </w:rPr>
        <w:t xml:space="preserve">Mitigazione degli effetti sui bilanci degli enti locali </w:t>
      </w:r>
      <w:r w:rsidR="0074325D">
        <w:rPr>
          <w:rFonts w:ascii="Bookman Old Style" w:hAnsi="Bookman Old Style"/>
          <w:b/>
          <w:bCs/>
          <w:color w:val="2F5496" w:themeColor="accent1" w:themeShade="BF"/>
          <w:sz w:val="22"/>
          <w:szCs w:val="22"/>
        </w:rPr>
        <w:t xml:space="preserve">delle </w:t>
      </w:r>
      <w:r w:rsidR="006637D7" w:rsidRPr="00F56158">
        <w:rPr>
          <w:rFonts w:ascii="Bookman Old Style" w:hAnsi="Bookman Old Style"/>
          <w:b/>
          <w:bCs/>
          <w:color w:val="2F5496" w:themeColor="accent1" w:themeShade="BF"/>
          <w:sz w:val="22"/>
          <w:szCs w:val="22"/>
        </w:rPr>
        <w:t xml:space="preserve">perdite </w:t>
      </w:r>
      <w:r w:rsidR="0074325D">
        <w:rPr>
          <w:rFonts w:ascii="Bookman Old Style" w:hAnsi="Bookman Old Style"/>
          <w:b/>
          <w:bCs/>
          <w:color w:val="2F5496" w:themeColor="accent1" w:themeShade="BF"/>
          <w:sz w:val="22"/>
          <w:szCs w:val="22"/>
        </w:rPr>
        <w:t xml:space="preserve">delle </w:t>
      </w:r>
      <w:r w:rsidR="00EC11E4" w:rsidRPr="00F56158">
        <w:rPr>
          <w:rFonts w:ascii="Bookman Old Style" w:hAnsi="Bookman Old Style"/>
          <w:b/>
          <w:bCs/>
          <w:color w:val="2F5496" w:themeColor="accent1" w:themeShade="BF"/>
          <w:sz w:val="22"/>
          <w:szCs w:val="22"/>
        </w:rPr>
        <w:t>società partecipate</w:t>
      </w:r>
      <w:r w:rsidR="006637D7" w:rsidRPr="00F56158">
        <w:rPr>
          <w:rFonts w:ascii="Bookman Old Style" w:hAnsi="Bookman Old Style"/>
          <w:b/>
          <w:bCs/>
          <w:color w:val="2F5496" w:themeColor="accent1" w:themeShade="BF"/>
          <w:sz w:val="22"/>
          <w:szCs w:val="22"/>
        </w:rPr>
        <w:t xml:space="preserve"> </w:t>
      </w:r>
      <w:r w:rsidR="00EC11E4" w:rsidRPr="00F56158">
        <w:rPr>
          <w:rFonts w:ascii="Bookman Old Style" w:hAnsi="Bookman Old Style"/>
          <w:b/>
          <w:bCs/>
          <w:color w:val="2F5496" w:themeColor="accent1" w:themeShade="BF"/>
          <w:sz w:val="22"/>
          <w:szCs w:val="22"/>
        </w:rPr>
        <w:t>**</w:t>
      </w:r>
      <w:bookmarkEnd w:id="17"/>
    </w:p>
    <w:p w14:paraId="6418CB14" w14:textId="4BEBC81D" w:rsidR="00EC11E4" w:rsidRPr="00A20489" w:rsidRDefault="00EC11E4" w:rsidP="00EC11E4">
      <w:pPr>
        <w:spacing w:after="0" w:line="240" w:lineRule="auto"/>
        <w:jc w:val="both"/>
        <w:rPr>
          <w:rFonts w:ascii="Bookman Old Style" w:hAnsi="Bookman Old Style"/>
        </w:rPr>
      </w:pPr>
      <w:r w:rsidRPr="00A20489">
        <w:rPr>
          <w:rFonts w:ascii="Bookman Old Style" w:hAnsi="Bookman Old Style"/>
        </w:rPr>
        <w:t>“</w:t>
      </w:r>
      <w:r w:rsidR="00530B48">
        <w:rPr>
          <w:rFonts w:ascii="Bookman Old Style" w:hAnsi="Bookman Old Style"/>
        </w:rPr>
        <w:t xml:space="preserve">1. </w:t>
      </w:r>
      <w:r w:rsidRPr="00A20489">
        <w:rPr>
          <w:rFonts w:ascii="Bookman Old Style" w:hAnsi="Bookman Old Style"/>
        </w:rPr>
        <w:t>In considerazione degli effetti creati dalla crisi Ucraina e per agevolare la realizzazione degli interventi di cui al PNRR e PNC, le previsioni di cui all’articolo 14, comma 5, all’articolo 21 nonché all’articolo 20, comma 2, lettera d) ed e), del decreto legislativo 19 agosto 2016, n. 175 e successive modifiche e integrazioni, non si applicano all’esercizio 2022 ed ai relativi risultati</w:t>
      </w:r>
      <w:r w:rsidR="00D5157B">
        <w:rPr>
          <w:rFonts w:ascii="Bookman Old Style" w:hAnsi="Bookman Old Style"/>
        </w:rPr>
        <w:t>.</w:t>
      </w:r>
      <w:r w:rsidRPr="00A20489">
        <w:rPr>
          <w:rFonts w:ascii="Bookman Old Style" w:hAnsi="Bookman Old Style"/>
        </w:rPr>
        <w:t>”. </w:t>
      </w:r>
    </w:p>
    <w:p w14:paraId="2502EE1C" w14:textId="77777777" w:rsidR="00EC11E4" w:rsidRPr="00A20489" w:rsidRDefault="00EC11E4" w:rsidP="00EC11E4">
      <w:pPr>
        <w:jc w:val="center"/>
        <w:rPr>
          <w:rFonts w:ascii="Bookman Old Style" w:hAnsi="Bookman Old Style"/>
          <w:b/>
          <w:bCs/>
        </w:rPr>
      </w:pPr>
      <w:r w:rsidRPr="00A20489">
        <w:rPr>
          <w:rFonts w:ascii="Bookman Old Style" w:hAnsi="Bookman Old Style"/>
          <w:b/>
          <w:bCs/>
        </w:rPr>
        <w:t>Motivazione</w:t>
      </w:r>
    </w:p>
    <w:p w14:paraId="7C757CD6" w14:textId="4676B4BB" w:rsidR="00EC11E4" w:rsidRDefault="00EC11E4" w:rsidP="00EC11E4">
      <w:pPr>
        <w:spacing w:after="80" w:line="21" w:lineRule="atLeast"/>
        <w:jc w:val="both"/>
        <w:rPr>
          <w:rFonts w:ascii="Bookman Old Style" w:hAnsi="Bookman Old Style"/>
          <w:i/>
          <w:iCs/>
        </w:rPr>
      </w:pPr>
      <w:r w:rsidRPr="00A20489">
        <w:rPr>
          <w:rFonts w:ascii="Bookman Old Style" w:hAnsi="Bookman Old Style"/>
          <w:i/>
          <w:iCs/>
        </w:rPr>
        <w:t>La proposta si rende necessaria perché il Testo Unico sulle società pubbliche (Decreto legislativo n. 175/2016) prevede una rigorosa serie di divieti di intervento finanziario a supporto delle partecipate in crisi e, in particolare, di quelle in perdita per tre esercizi consecutivi. Condizione quest’ultima in cui rischiano di trovarsi numerose società pubbliche anche in ragione dell’attuale congiuntura economica e dell’inevitabile protrarsi dei suoi effetti: non è difficile immaginare che una parte maggiore di tale costo sarà a carico delle società che gestiscono servizi pubblici locali, prevalentemente in house. Inoltre</w:t>
      </w:r>
      <w:r w:rsidR="0074325D">
        <w:rPr>
          <w:rFonts w:ascii="Bookman Old Style" w:hAnsi="Bookman Old Style"/>
          <w:i/>
          <w:iCs/>
        </w:rPr>
        <w:t>,</w:t>
      </w:r>
      <w:r w:rsidRPr="00A20489">
        <w:rPr>
          <w:rFonts w:ascii="Bookman Old Style" w:hAnsi="Bookman Old Style"/>
          <w:i/>
          <w:iCs/>
        </w:rPr>
        <w:t xml:space="preserve"> molte società in house sono</w:t>
      </w:r>
      <w:r w:rsidR="0074325D">
        <w:rPr>
          <w:rFonts w:ascii="Bookman Old Style" w:hAnsi="Bookman Old Style"/>
          <w:i/>
          <w:iCs/>
        </w:rPr>
        <w:t xml:space="preserve"> </w:t>
      </w:r>
      <w:r w:rsidRPr="00A20489">
        <w:rPr>
          <w:rFonts w:ascii="Bookman Old Style" w:hAnsi="Bookman Old Style"/>
          <w:i/>
          <w:iCs/>
        </w:rPr>
        <w:t>soggetti</w:t>
      </w:r>
      <w:r w:rsidR="0074325D">
        <w:rPr>
          <w:rFonts w:ascii="Bookman Old Style" w:hAnsi="Bookman Old Style"/>
          <w:i/>
          <w:iCs/>
        </w:rPr>
        <w:t xml:space="preserve"> </w:t>
      </w:r>
      <w:r w:rsidRPr="00A20489">
        <w:rPr>
          <w:rFonts w:ascii="Bookman Old Style" w:hAnsi="Bookman Old Style"/>
          <w:i/>
          <w:iCs/>
        </w:rPr>
        <w:t>attuatori delle misure del PNRR e PNC, pertanto è necessario salvaguardarle al fine di agevolare una rapida realizzazione degli interventi.</w:t>
      </w:r>
    </w:p>
    <w:p w14:paraId="5300366F" w14:textId="03437A61" w:rsidR="004A31AC" w:rsidRDefault="004A31AC" w:rsidP="00EC11E4">
      <w:pPr>
        <w:spacing w:after="80" w:line="21" w:lineRule="atLeast"/>
        <w:jc w:val="both"/>
        <w:rPr>
          <w:rFonts w:ascii="Bookman Old Style" w:hAnsi="Bookman Old Style"/>
          <w:i/>
          <w:iCs/>
        </w:rPr>
      </w:pPr>
    </w:p>
    <w:p w14:paraId="2987DEEE" w14:textId="77777777" w:rsidR="00671166" w:rsidRDefault="00671166">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65DF55B4" w14:textId="1F4DB608" w:rsidR="004A31AC" w:rsidRPr="00A104E9" w:rsidRDefault="004A31AC"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8" w:name="_Toc121214258"/>
      <w:r w:rsidRPr="00A104E9">
        <w:rPr>
          <w:rFonts w:ascii="Bookman Old Style" w:hAnsi="Bookman Old Style"/>
          <w:b/>
          <w:bCs/>
          <w:color w:val="2F5496" w:themeColor="accent1" w:themeShade="BF"/>
          <w:sz w:val="22"/>
          <w:szCs w:val="22"/>
        </w:rPr>
        <w:t>Fondo Unico Politiche Sociali</w:t>
      </w:r>
      <w:r w:rsidR="00296A9C">
        <w:rPr>
          <w:rFonts w:ascii="Bookman Old Style" w:hAnsi="Bookman Old Style"/>
          <w:b/>
          <w:bCs/>
          <w:color w:val="2F5496" w:themeColor="accent1" w:themeShade="BF"/>
          <w:sz w:val="22"/>
          <w:szCs w:val="22"/>
        </w:rPr>
        <w:t>**</w:t>
      </w:r>
      <w:bookmarkEnd w:id="18"/>
    </w:p>
    <w:p w14:paraId="43E7D5DF" w14:textId="77777777" w:rsidR="004A31AC" w:rsidRPr="00A20489" w:rsidRDefault="004A31AC" w:rsidP="004A31AC">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63 aggiungere il seguente art. 63 bis</w:t>
      </w:r>
    </w:p>
    <w:p w14:paraId="3004B30A" w14:textId="77777777" w:rsidR="004A31AC" w:rsidRPr="00A20489" w:rsidRDefault="004A31AC" w:rsidP="004A31AC">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rt. 63</w:t>
      </w:r>
      <w:r>
        <w:rPr>
          <w:rFonts w:ascii="Bookman Old Style" w:hAnsi="Bookman Old Style"/>
          <w:i/>
          <w:iCs/>
          <w:sz w:val="22"/>
          <w:szCs w:val="22"/>
        </w:rPr>
        <w:t>-</w:t>
      </w:r>
      <w:r w:rsidRPr="00A20489">
        <w:rPr>
          <w:rFonts w:ascii="Bookman Old Style" w:hAnsi="Bookman Old Style"/>
          <w:i/>
          <w:iCs/>
          <w:sz w:val="22"/>
          <w:szCs w:val="22"/>
        </w:rPr>
        <w:t>bis</w:t>
      </w:r>
      <w:r>
        <w:rPr>
          <w:rFonts w:ascii="Bookman Old Style" w:hAnsi="Bookman Old Style"/>
          <w:i/>
          <w:iCs/>
          <w:sz w:val="22"/>
          <w:szCs w:val="22"/>
        </w:rPr>
        <w:t xml:space="preserve"> (Istituzione del Fondo unico politiche sociali)</w:t>
      </w:r>
    </w:p>
    <w:p w14:paraId="3F55571B" w14:textId="77777777" w:rsidR="004A31AC" w:rsidRPr="00A20489" w:rsidRDefault="004A31AC" w:rsidP="004A31AC">
      <w:pPr>
        <w:shd w:val="clear" w:color="auto" w:fill="FFFFFF"/>
        <w:spacing w:after="80"/>
        <w:jc w:val="both"/>
        <w:rPr>
          <w:rFonts w:ascii="Bookman Old Style" w:hAnsi="Bookman Old Style"/>
        </w:rPr>
      </w:pPr>
      <w:r w:rsidRPr="00A20489">
        <w:rPr>
          <w:rFonts w:ascii="Bookman Old Style" w:hAnsi="Bookman Old Style"/>
        </w:rPr>
        <w:t xml:space="preserve">1. Nello stato di previsione del Ministero del Lavoro e delle Politiche Sociali è istituito il Fondo Unico Politiche Sociali, in cui confluiscono le risorse afferenti al Fondo nazionale per le politiche sociali di cui all’art. 59, comma 44, della legge 27 dicembre 1997, n. 449, al Fondo nazionale per le non autosufficienze di cui all’art. 1, comma 1264, della legge 27 dicembre 2006, n. 296, al Fondo per l’assistenza alle persone con disabilità grave prive del sostegno familiare di cui all'art. 3, comma 1, della legge 22 giugno 2016, n. 112, e al Fondo per la lotta alla povertà e all’esclusione sociale di cui all’art. 1, comma 386, della legge 28 dicembre 2015, n. 208. </w:t>
      </w:r>
    </w:p>
    <w:p w14:paraId="47FB83CB" w14:textId="77777777" w:rsidR="004A31AC" w:rsidRPr="00A20489" w:rsidRDefault="004A31AC" w:rsidP="004A31AC">
      <w:pPr>
        <w:shd w:val="clear" w:color="auto" w:fill="FFFFFF"/>
        <w:spacing w:after="80"/>
        <w:jc w:val="both"/>
        <w:rPr>
          <w:rFonts w:ascii="Bookman Old Style" w:hAnsi="Bookman Old Style"/>
        </w:rPr>
      </w:pPr>
      <w:r w:rsidRPr="00A20489">
        <w:rPr>
          <w:rFonts w:ascii="Bookman Old Style" w:hAnsi="Bookman Old Style"/>
        </w:rPr>
        <w:t xml:space="preserve">2. Al fine di garantire l’attuazione dei Livelli essenziali delle prestazioni sociali su tutto il territorio nazionale, le risorse del Fondo Unico Politiche Sociali sono direttamente trasferite agli Ambiti territoriali sociali sulla base della programmazione regionale definita nell’annualità antecedente all’anno di riferimento, entro il primo trimestre di ciascun anno. </w:t>
      </w:r>
    </w:p>
    <w:p w14:paraId="16FBEC8C" w14:textId="77777777" w:rsidR="004A31AC" w:rsidRPr="00A20489" w:rsidRDefault="004A31AC" w:rsidP="004A31AC">
      <w:pPr>
        <w:shd w:val="clear" w:color="auto" w:fill="FFFFFF"/>
        <w:spacing w:after="80"/>
        <w:jc w:val="both"/>
        <w:rPr>
          <w:rFonts w:ascii="Bookman Old Style" w:hAnsi="Bookman Old Style"/>
        </w:rPr>
      </w:pPr>
      <w:r w:rsidRPr="00A20489">
        <w:rPr>
          <w:rFonts w:ascii="Bookman Old Style" w:hAnsi="Bookman Old Style"/>
        </w:rPr>
        <w:t>3. Con uno o più decreti del Ministro del Lavoro e delle Politiche Sociali, da emanare entro sei mesi dalla data di entrata in vigore della presente legge, di concerto con il Ministro per le disabilità, il Ministro della Salute e il Ministro dell’Economia e delle Finanze, previa intesa in Conferenza Unificata di cui all’articolo 8 del decreto legislativo 28 agosto 1997, n. 281, sono definiti i criteri di riparto, le modalità di erogazione, i criteri di utilizzo e le procedure di rendicontazione della spesa.</w:t>
      </w:r>
    </w:p>
    <w:p w14:paraId="59AE7C9E" w14:textId="77777777" w:rsidR="004A31AC" w:rsidRPr="00A20489" w:rsidRDefault="004A31AC" w:rsidP="004A31AC">
      <w:pPr>
        <w:shd w:val="clear" w:color="auto" w:fill="FFFFFF"/>
        <w:spacing w:after="80"/>
        <w:jc w:val="both"/>
        <w:rPr>
          <w:rFonts w:ascii="Bookman Old Style" w:hAnsi="Bookman Old Style"/>
        </w:rPr>
      </w:pPr>
      <w:r w:rsidRPr="00A20489">
        <w:rPr>
          <w:rFonts w:ascii="Bookman Old Style" w:hAnsi="Bookman Old Style"/>
        </w:rPr>
        <w:t>4. Sulla base dei decreti di cui al periodo precedente, il Fondo Unico Politiche Sociali entra in vigore a decorrere dal 2024.</w:t>
      </w:r>
    </w:p>
    <w:p w14:paraId="15EF975D" w14:textId="77777777" w:rsidR="004A31AC" w:rsidRPr="00A20489" w:rsidRDefault="004A31AC" w:rsidP="004A31AC">
      <w:pPr>
        <w:shd w:val="clear" w:color="auto" w:fill="FFFFFF"/>
        <w:spacing w:after="80"/>
        <w:jc w:val="center"/>
        <w:rPr>
          <w:rFonts w:ascii="Bookman Old Style" w:hAnsi="Bookman Old Style"/>
          <w:b/>
          <w:bCs/>
        </w:rPr>
      </w:pPr>
      <w:r w:rsidRPr="00A20489">
        <w:rPr>
          <w:rFonts w:ascii="Bookman Old Style" w:hAnsi="Bookman Old Style"/>
          <w:b/>
          <w:bCs/>
        </w:rPr>
        <w:t>Motivazione</w:t>
      </w:r>
    </w:p>
    <w:p w14:paraId="238E75B9" w14:textId="77777777" w:rsidR="004A31AC" w:rsidRPr="00A20489" w:rsidRDefault="004A31AC" w:rsidP="004A31AC">
      <w:pPr>
        <w:shd w:val="clear" w:color="auto" w:fill="FFFFFF"/>
        <w:spacing w:after="80"/>
        <w:jc w:val="both"/>
        <w:rPr>
          <w:rFonts w:ascii="Bookman Old Style" w:hAnsi="Bookman Old Style"/>
          <w:i/>
          <w:iCs/>
        </w:rPr>
      </w:pPr>
      <w:r w:rsidRPr="00A20489">
        <w:rPr>
          <w:rFonts w:ascii="Bookman Old Style" w:hAnsi="Bookman Old Style"/>
          <w:i/>
          <w:iCs/>
        </w:rPr>
        <w:t>La previsione di un Fondo sociale nazionale unico in cui far confluire i principali fondi sociali nazionali nello stato di previsione del Ministero del Lavoro e delle Politiche Sociali (Fondo nazionale per le politiche sociali, Fondo nazionale per le non autosufficienze, Fondo “Dopo di Noi” e Fondo Povertà) consente di evitare l'attuale disallineamento tra i vari fondi in termini di tempistiche, criteri e modalità di trasferimento, gestione e rendicontazione, semplificando, uniformando e velocizzando le procedure e favorendo la programmazione unitaria pluriennale e l'uso integrato delle risorse a livello territoriale.</w:t>
      </w:r>
    </w:p>
    <w:p w14:paraId="2B46F0C2" w14:textId="77777777" w:rsidR="004A31AC" w:rsidRDefault="004A31AC" w:rsidP="004A31AC">
      <w:pPr>
        <w:pStyle w:val="Testonormale"/>
        <w:shd w:val="clear" w:color="auto" w:fill="FFFFFF"/>
        <w:spacing w:after="80" w:line="259" w:lineRule="auto"/>
        <w:rPr>
          <w:rFonts w:ascii="Bookman Old Style" w:hAnsi="Bookman Old Style"/>
          <w:b/>
          <w:bCs/>
          <w:i/>
          <w:iCs/>
          <w:color w:val="538135" w:themeColor="accent6" w:themeShade="BF"/>
        </w:rPr>
      </w:pPr>
      <w:r w:rsidRPr="00136747">
        <w:rPr>
          <w:rFonts w:ascii="Bookman Old Style" w:hAnsi="Bookman Old Style"/>
          <w:color w:val="000000"/>
          <w:szCs w:val="22"/>
        </w:rPr>
        <w:t> </w:t>
      </w:r>
    </w:p>
    <w:p w14:paraId="49A4771D" w14:textId="63DEF321" w:rsidR="00D02BCA" w:rsidRPr="00F56158" w:rsidRDefault="00D02BCA"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9" w:name="_Toc121214259"/>
      <w:r w:rsidRPr="00F56158">
        <w:rPr>
          <w:rFonts w:ascii="Bookman Old Style" w:hAnsi="Bookman Old Style"/>
          <w:b/>
          <w:bCs/>
          <w:color w:val="2F5496" w:themeColor="accent1" w:themeShade="BF"/>
          <w:sz w:val="22"/>
          <w:szCs w:val="22"/>
        </w:rPr>
        <w:t>Fondo nazionale sicurezza urbana **</w:t>
      </w:r>
      <w:bookmarkEnd w:id="19"/>
    </w:p>
    <w:p w14:paraId="457A752B" w14:textId="77777777" w:rsidR="00D02BCA" w:rsidRPr="00CB57B9" w:rsidRDefault="00D02BCA" w:rsidP="007B094F">
      <w:pPr>
        <w:spacing w:after="80"/>
        <w:rPr>
          <w:rFonts w:ascii="Bookman Old Style" w:hAnsi="Bookman Old Style"/>
          <w:i/>
          <w:iCs/>
        </w:rPr>
      </w:pPr>
      <w:r>
        <w:rPr>
          <w:rFonts w:ascii="Bookman Old Style" w:hAnsi="Bookman Old Style"/>
          <w:i/>
          <w:iCs/>
        </w:rPr>
        <w:t xml:space="preserve">Dopo l’art. 123 è aggiunto il seguente articolo: </w:t>
      </w:r>
    </w:p>
    <w:p w14:paraId="05EDC01A" w14:textId="77777777" w:rsidR="00D02BCA" w:rsidRPr="00CB57B9" w:rsidRDefault="00D02BCA" w:rsidP="007B094F">
      <w:pPr>
        <w:spacing w:after="80"/>
        <w:rPr>
          <w:rFonts w:ascii="Bookman Old Style" w:hAnsi="Bookman Old Style"/>
          <w:i/>
          <w:iCs/>
        </w:rPr>
      </w:pPr>
      <w:r w:rsidRPr="00CB57B9">
        <w:rPr>
          <w:rFonts w:ascii="Bookman Old Style" w:hAnsi="Bookman Old Style"/>
          <w:i/>
          <w:iCs/>
        </w:rPr>
        <w:t>Art. 1</w:t>
      </w:r>
      <w:r>
        <w:rPr>
          <w:rFonts w:ascii="Bookman Old Style" w:hAnsi="Bookman Old Style"/>
          <w:i/>
          <w:iCs/>
        </w:rPr>
        <w:t>23</w:t>
      </w:r>
      <w:r w:rsidRPr="00CB57B9">
        <w:rPr>
          <w:rFonts w:ascii="Bookman Old Style" w:hAnsi="Bookman Old Style"/>
          <w:i/>
          <w:iCs/>
        </w:rPr>
        <w:t xml:space="preserve"> </w:t>
      </w:r>
      <w:r>
        <w:rPr>
          <w:rFonts w:ascii="Bookman Old Style" w:hAnsi="Bookman Old Style"/>
          <w:i/>
          <w:iCs/>
        </w:rPr>
        <w:t xml:space="preserve">bis </w:t>
      </w:r>
      <w:r w:rsidRPr="00CB57B9">
        <w:rPr>
          <w:rFonts w:ascii="Bookman Old Style" w:hAnsi="Bookman Old Style"/>
          <w:i/>
          <w:iCs/>
        </w:rPr>
        <w:t>(Fondo nazionale sicurezza urbana)</w:t>
      </w:r>
    </w:p>
    <w:p w14:paraId="0CEF51E2" w14:textId="77777777" w:rsidR="00D02BCA" w:rsidRPr="00F52650" w:rsidRDefault="00D02BCA" w:rsidP="007B094F">
      <w:pPr>
        <w:spacing w:after="80"/>
        <w:jc w:val="both"/>
        <w:rPr>
          <w:rFonts w:ascii="Bookman Old Style" w:hAnsi="Bookman Old Style"/>
          <w:b/>
          <w:bCs/>
          <w:color w:val="538135" w:themeColor="accent6" w:themeShade="BF"/>
        </w:rPr>
      </w:pPr>
      <w:r w:rsidRPr="00F52650">
        <w:rPr>
          <w:rFonts w:ascii="Bookman Old Style" w:hAnsi="Bookman Old Style"/>
        </w:rPr>
        <w:t xml:space="preserve">1.Per il potenziamento delle iniziative in materia di sicurezza urbana da parte dei Comuni è istituito nello stato di previsione del Ministero dell'interno un apposito fondo denominato “Fondo nazionale per la sicurezza urbana”, con una dotazione pari a 100 milioni di euro a decorrere dal 2023. </w:t>
      </w:r>
    </w:p>
    <w:p w14:paraId="5424F390" w14:textId="30861621" w:rsidR="00D02BCA" w:rsidRPr="00F52650" w:rsidRDefault="00D02BCA" w:rsidP="007B094F">
      <w:pPr>
        <w:spacing w:after="80"/>
        <w:jc w:val="both"/>
        <w:rPr>
          <w:rFonts w:ascii="Bookman Old Style" w:hAnsi="Bookman Old Style"/>
        </w:rPr>
      </w:pPr>
      <w:r w:rsidRPr="00F52650">
        <w:rPr>
          <w:rFonts w:ascii="Bookman Old Style" w:hAnsi="Bookman Old Style"/>
        </w:rPr>
        <w:t>2.Le risorse del suddetto Fondo possono essere destinate anche ad assunzioni a tempo determinato di personale di Polizia municipale, nei limiti delle predette risorse e anche in</w:t>
      </w:r>
      <w:r w:rsidR="00901A9A">
        <w:rPr>
          <w:rFonts w:ascii="Bookman Old Style" w:hAnsi="Bookman Old Style"/>
        </w:rPr>
        <w:t xml:space="preserve"> </w:t>
      </w:r>
      <w:r w:rsidRPr="00F52650">
        <w:rPr>
          <w:rFonts w:ascii="Bookman Old Style" w:hAnsi="Bookman Old Style"/>
        </w:rPr>
        <w:t>deroga all'articolo 9, comma 28, del decreto-legge 31 maggio</w:t>
      </w:r>
      <w:r w:rsidR="00901A9A">
        <w:rPr>
          <w:rFonts w:ascii="Bookman Old Style" w:hAnsi="Bookman Old Style"/>
        </w:rPr>
        <w:t xml:space="preserve"> </w:t>
      </w:r>
      <w:r w:rsidRPr="00F52650">
        <w:rPr>
          <w:rFonts w:ascii="Bookman Old Style" w:hAnsi="Bookman Old Style"/>
        </w:rPr>
        <w:t>2010,</w:t>
      </w:r>
      <w:r w:rsidR="00901A9A">
        <w:rPr>
          <w:rFonts w:ascii="Bookman Old Style" w:hAnsi="Bookman Old Style"/>
        </w:rPr>
        <w:t xml:space="preserve"> </w:t>
      </w:r>
      <w:r w:rsidRPr="00F52650">
        <w:rPr>
          <w:rFonts w:ascii="Bookman Old Style" w:hAnsi="Bookman Old Style"/>
        </w:rPr>
        <w:t>n.</w:t>
      </w:r>
      <w:r w:rsidR="00901A9A">
        <w:rPr>
          <w:rFonts w:ascii="Bookman Old Style" w:hAnsi="Bookman Old Style"/>
        </w:rPr>
        <w:t xml:space="preserve"> </w:t>
      </w:r>
      <w:r w:rsidRPr="00F52650">
        <w:rPr>
          <w:rFonts w:ascii="Bookman Old Style" w:hAnsi="Bookman Old Style"/>
        </w:rPr>
        <w:t xml:space="preserve">78, convertito, con modificazioni, dalla legge 30 luglio 2010, n. 122, al potenziamento delle sale operative della Polizia municipale e all’installazione e al potenziamento dei sistemi di videosorveglianza. </w:t>
      </w:r>
    </w:p>
    <w:p w14:paraId="28A0B873" w14:textId="6E67F533" w:rsidR="00D02BCA" w:rsidRPr="00F52650" w:rsidRDefault="00D02BCA" w:rsidP="007B094F">
      <w:pPr>
        <w:spacing w:after="80"/>
        <w:jc w:val="both"/>
        <w:rPr>
          <w:rFonts w:ascii="Bookman Old Style" w:hAnsi="Bookman Old Style"/>
        </w:rPr>
      </w:pPr>
      <w:r w:rsidRPr="00F52650">
        <w:rPr>
          <w:rFonts w:ascii="Bookman Old Style" w:hAnsi="Bookman Old Style"/>
        </w:rPr>
        <w:t xml:space="preserve">3.Nel Fondo di cui al comma 1 confluiscono le risorse del Fondo di cui all’articolo 35-quater del decreto-legge 4 ottobre 2018, n. 113, convertito, con modificazioni, dalla legge 1° dicembre 2018, n. 132 ed è anche alimentato dal Fondo unico giustizia di cui all'articolo 61, comma 23, del decreto-legge 25 giugno 2008, n. 112, convertito, con modificazioni, dalla legge 6 agosto 2008, n. 133. </w:t>
      </w:r>
    </w:p>
    <w:p w14:paraId="38D0E526" w14:textId="39410222" w:rsidR="00D02BCA" w:rsidRPr="00F52650" w:rsidRDefault="00D02BCA" w:rsidP="007B094F">
      <w:pPr>
        <w:spacing w:after="80"/>
        <w:jc w:val="both"/>
        <w:rPr>
          <w:rFonts w:ascii="Bookman Old Style" w:hAnsi="Bookman Old Style"/>
        </w:rPr>
      </w:pPr>
      <w:r w:rsidRPr="00F52650">
        <w:rPr>
          <w:rFonts w:ascii="Bookman Old Style" w:hAnsi="Bookman Old Style"/>
        </w:rPr>
        <w:t xml:space="preserve">4. Le modalità di presentazione delle richieste da parte dei comuni interessati nonché i criteri di ripartizione delle risorse del fondo di cui al comma 1 sono individuati, entro novanta giorni, con decreto del Ministro dell'Interno, di concerto con il Ministro dell’Economia e delle </w:t>
      </w:r>
      <w:r w:rsidR="00E5251E">
        <w:rPr>
          <w:rFonts w:ascii="Bookman Old Style" w:hAnsi="Bookman Old Style"/>
        </w:rPr>
        <w:t>f</w:t>
      </w:r>
      <w:r w:rsidRPr="00F52650">
        <w:rPr>
          <w:rFonts w:ascii="Bookman Old Style" w:hAnsi="Bookman Old Style"/>
        </w:rPr>
        <w:t xml:space="preserve">inanze, d’intesa con la Conferenza Stato-città ed autonomie locali. </w:t>
      </w:r>
    </w:p>
    <w:p w14:paraId="40F3C6AF" w14:textId="77777777" w:rsidR="00D02BCA" w:rsidRDefault="00D02BCA" w:rsidP="007B094F">
      <w:pPr>
        <w:spacing w:after="80"/>
        <w:jc w:val="center"/>
        <w:rPr>
          <w:rFonts w:ascii="Bookman Old Style" w:hAnsi="Bookman Old Style"/>
          <w:b/>
          <w:bCs/>
        </w:rPr>
      </w:pPr>
      <w:r>
        <w:rPr>
          <w:rFonts w:ascii="Bookman Old Style" w:hAnsi="Bookman Old Style"/>
          <w:b/>
          <w:bCs/>
        </w:rPr>
        <w:t>Motivazione</w:t>
      </w:r>
    </w:p>
    <w:p w14:paraId="631A0648" w14:textId="0DFBA2E7" w:rsidR="00D02BCA" w:rsidRPr="007A5478" w:rsidRDefault="00D02BCA" w:rsidP="007B094F">
      <w:pPr>
        <w:pStyle w:val="NormaleWeb"/>
        <w:shd w:val="clear" w:color="auto" w:fill="FFFFFF"/>
        <w:spacing w:before="0" w:beforeAutospacing="0" w:after="80" w:afterAutospacing="0" w:line="259" w:lineRule="auto"/>
        <w:jc w:val="both"/>
        <w:textAlignment w:val="top"/>
        <w:rPr>
          <w:rStyle w:val="normaltextrun"/>
          <w:rFonts w:ascii="Bookman Old Style" w:eastAsiaTheme="majorEastAsia" w:hAnsi="Bookman Old Style"/>
          <w:i/>
          <w:iCs/>
          <w:color w:val="000000"/>
          <w:sz w:val="22"/>
          <w:szCs w:val="22"/>
          <w:shd w:val="clear" w:color="auto" w:fill="FFFFFF"/>
        </w:rPr>
      </w:pPr>
      <w:r w:rsidRPr="007A5478">
        <w:rPr>
          <w:rStyle w:val="normaltextrun"/>
          <w:rFonts w:ascii="Bookman Old Style" w:eastAsiaTheme="majorEastAsia" w:hAnsi="Bookman Old Style"/>
          <w:i/>
          <w:iCs/>
          <w:color w:val="000000"/>
          <w:sz w:val="22"/>
          <w:szCs w:val="22"/>
          <w:shd w:val="clear" w:color="auto" w:fill="FFFFFF"/>
        </w:rPr>
        <w:t xml:space="preserve">Le novità normative intervenute in questi ultimi anni hanno certamente avuto il merito di adeguare parte della legislazione alla realtà dei nostri tempi, a fronte di una domanda di sicurezza articolata e complessa che i cittadini hanno rivolto e continuano ad indirizzare ai Sindaci e alle Polizie locali, componenti essenziali dell’esercizio e della garanzia del controllo della sicurezza urbana che necessitano di strumenti e risorse adeguati. A loro viene in primo luogo indirizzata quella richiesta di sicurezza che necessita di risposte immediate e, allo stesso tempo, complesse. Viene oggi richiesta una sicurezza urbana attiva, coinvolgente e partecipata, a 360 gradi e h24, capace di rispondere non solo ai problemi di sicurezza percepita, ma anche agli abusi di varia natura, al decoro e alla convivenza civile. Con le previsioni della L. 48/2017 e della L. 132/2018, i Comuni sono stati destinatari di risorse fondamentali per il supporto alle attività di sicurezza in ambito urbano, con finanziamenti diretti per specifiche finalità attraverso molteplici canali, ciascuno con scadenze e modalità differenti, che hanno visto in questi anni il dispiegarsi di numerose diverse iniziative, con le amministrazioni comunali in prima linea nella presentazione di puntuali proposte progettuali e nella realizzazione delle attività previste. </w:t>
      </w:r>
    </w:p>
    <w:p w14:paraId="786FE8C5" w14:textId="77777777" w:rsidR="00D02BCA" w:rsidRPr="007A5478" w:rsidRDefault="00D02BCA" w:rsidP="007B094F">
      <w:pPr>
        <w:spacing w:after="80"/>
        <w:jc w:val="both"/>
        <w:rPr>
          <w:rStyle w:val="normaltextrun"/>
          <w:rFonts w:ascii="Bookman Old Style" w:eastAsia="Times New Roman" w:hAnsi="Bookman Old Style" w:cs="Times New Roman"/>
          <w:i/>
          <w:iCs/>
          <w:color w:val="000000"/>
          <w:shd w:val="clear" w:color="auto" w:fill="FFFFFF"/>
          <w:lang w:eastAsia="it-IT"/>
        </w:rPr>
      </w:pPr>
      <w:r w:rsidRPr="007A5478">
        <w:rPr>
          <w:rStyle w:val="normaltextrun"/>
          <w:rFonts w:ascii="Bookman Old Style" w:eastAsia="Times New Roman" w:hAnsi="Bookman Old Style" w:cs="Times New Roman"/>
          <w:i/>
          <w:iCs/>
          <w:color w:val="000000"/>
          <w:shd w:val="clear" w:color="auto" w:fill="FFFFFF"/>
          <w:lang w:eastAsia="it-IT"/>
        </w:rPr>
        <w:t xml:space="preserve">A partire dall’utilizzo delle risorse del Fondo sicurezza urbana istituito con la L. 132/2018, con le diverse previsioni per i Comuni capoluogo metropolitano e per gli altri Comuni attraverso le iniziative c.d. “Scuole sicure” e “Spiagge sicure”, agli stanziamenti a valere sul Fondo Unico Giustizia che le hanno integrate, anche con quelle ulteriori c.d. “Laghi sicuri” e “Truffe agli anziani”. Inoltre, le risorse per l’installazione e il potenziamento dei sistemi di videosorveglianza, attivate dalla L. 48/2017 che si fermano al 2022 e che, come da bozza della Legge di bilancio per il 2023, sono rifinanziate. </w:t>
      </w:r>
      <w:r w:rsidRPr="007A5478">
        <w:rPr>
          <w:rStyle w:val="normaltextrun"/>
          <w:rFonts w:ascii="Bookman Old Style" w:hAnsi="Bookman Old Style"/>
          <w:i/>
          <w:iCs/>
          <w:color w:val="000000"/>
          <w:shd w:val="clear" w:color="auto" w:fill="FFFFFF"/>
        </w:rPr>
        <w:t xml:space="preserve">Emerge l’esigenza di un’unificazione di tali molteplici strumenti di finanziamento esistenti, con l’istituzione nella prossima Legge di bilancio di un unico Fondo nazionale che possa rispondere alle diverse finalità anche per far fronte alle complesse richieste di sicurezza che i cittadini rivolgono ai Sindaci. Un Fondo la cui ripartizione delle risorse va definita tramite apposito decreto, d’intesa con la Conferenza Stato Città ed autonomie locali, considerate le differenti esigenze territoriali delle realtà urbane di dimensioni differenti. </w:t>
      </w:r>
    </w:p>
    <w:p w14:paraId="7841CDFE" w14:textId="77777777" w:rsidR="00D02BCA" w:rsidRDefault="00D02BCA" w:rsidP="007B094F">
      <w:pPr>
        <w:pStyle w:val="PreformattatoHTML"/>
        <w:shd w:val="clear" w:color="auto" w:fill="FFFFFF"/>
        <w:spacing w:after="80" w:line="259" w:lineRule="auto"/>
        <w:jc w:val="both"/>
        <w:rPr>
          <w:rFonts w:ascii="Avenir Next LT Pro" w:eastAsiaTheme="minorHAnsi" w:hAnsi="Avenir Next LT Pro" w:cstheme="minorBidi"/>
          <w:i/>
          <w:iCs/>
          <w:highlight w:val="yellow"/>
          <w:lang w:eastAsia="en-US"/>
        </w:rPr>
      </w:pPr>
    </w:p>
    <w:p w14:paraId="52391885" w14:textId="77777777" w:rsidR="004664F0" w:rsidRPr="00F56158" w:rsidRDefault="004664F0" w:rsidP="00C605AD">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20" w:name="_Toc121214260"/>
      <w:r w:rsidRPr="00F56158">
        <w:rPr>
          <w:rFonts w:ascii="Bookman Old Style" w:hAnsi="Bookman Old Style"/>
          <w:b/>
          <w:bCs/>
          <w:color w:val="2F5496" w:themeColor="accent1" w:themeShade="BF"/>
          <w:sz w:val="22"/>
          <w:szCs w:val="22"/>
        </w:rPr>
        <w:t>Assunzioni personale polizia locale **</w:t>
      </w:r>
      <w:bookmarkEnd w:id="20"/>
    </w:p>
    <w:p w14:paraId="707998BC" w14:textId="77777777" w:rsidR="004664F0" w:rsidRPr="00311A3A" w:rsidRDefault="004664F0" w:rsidP="007B094F">
      <w:pPr>
        <w:spacing w:after="80"/>
        <w:rPr>
          <w:rStyle w:val="normaltextrun"/>
          <w:rFonts w:ascii="Bookman Old Style" w:hAnsi="Bookman Old Style"/>
          <w:i/>
          <w:iCs/>
          <w:color w:val="000000"/>
          <w:shd w:val="clear" w:color="auto" w:fill="FFFFFF"/>
        </w:rPr>
      </w:pPr>
      <w:r w:rsidRPr="00311A3A">
        <w:rPr>
          <w:rStyle w:val="normaltextrun"/>
          <w:rFonts w:ascii="Bookman Old Style" w:hAnsi="Bookman Old Style"/>
          <w:i/>
          <w:iCs/>
          <w:color w:val="000000"/>
          <w:shd w:val="clear" w:color="auto" w:fill="FFFFFF"/>
        </w:rPr>
        <w:t>Dopo l’art. 146 è inserito il seguente articolo 146 bis</w:t>
      </w:r>
    </w:p>
    <w:p w14:paraId="03E56780" w14:textId="77777777" w:rsidR="004664F0" w:rsidRPr="00410289" w:rsidRDefault="004664F0" w:rsidP="007B094F">
      <w:pPr>
        <w:spacing w:after="80"/>
        <w:rPr>
          <w:rStyle w:val="normaltextrun"/>
          <w:rFonts w:ascii="Bookman Old Style" w:hAnsi="Bookman Old Style"/>
          <w:i/>
          <w:iCs/>
          <w:color w:val="000000"/>
          <w:shd w:val="clear" w:color="auto" w:fill="FFFFFF"/>
        </w:rPr>
      </w:pPr>
      <w:r>
        <w:t>“</w:t>
      </w:r>
      <w:r w:rsidRPr="00410289">
        <w:rPr>
          <w:rStyle w:val="normaltextrun"/>
          <w:rFonts w:ascii="Bookman Old Style" w:hAnsi="Bookman Old Style"/>
          <w:i/>
          <w:iCs/>
          <w:color w:val="000000"/>
          <w:shd w:val="clear" w:color="auto" w:fill="FFFFFF"/>
        </w:rPr>
        <w:t xml:space="preserve">146 bis Disposizioni in materia di assunzioni del personale di Polizia locale </w:t>
      </w:r>
    </w:p>
    <w:p w14:paraId="12C04F14" w14:textId="5BFD9A7E"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1.</w:t>
      </w:r>
      <w:r w:rsidR="00901A9A">
        <w:rPr>
          <w:rFonts w:ascii="Bookman Old Style" w:hAnsi="Bookman Old Style"/>
        </w:rPr>
        <w:t xml:space="preserve"> </w:t>
      </w:r>
      <w:r w:rsidRPr="00410289">
        <w:rPr>
          <w:rFonts w:ascii="Bookman Old Style" w:hAnsi="Bookman Old Style"/>
        </w:rPr>
        <w:t>Al fine di potenziare i servizi di sicurezza stradale ed urbana nonché il controllo del territorio, gestiti in forma singola o associata, e contestualmente nella prospettiva del raggiungimento, nei limiti delle risorse disponibili a legislazione vigente, di un livello essenziale delle prestazioni e dei servizi di Polizia municipale definito da un rapporto tra operatori nei servizi di Polizia municipale e popolazione residente pari a 1 a 1.000 in ogni ente locale con popolazione superiore ai 50.000 abitanti che gestisce la funzione in forma associata e dell'ulteriore obiettivo di un rapporto tra operatori nei servizi di Polizia municipale e popolazione residente pari a 1 a 800 per i Comuni con popolazione superiore ai 50.000 abitanti</w:t>
      </w:r>
      <w:r w:rsidR="00901A9A">
        <w:rPr>
          <w:rFonts w:ascii="Bookman Old Style" w:hAnsi="Bookman Old Style"/>
        </w:rPr>
        <w:t xml:space="preserve"> </w:t>
      </w:r>
      <w:r w:rsidRPr="00410289">
        <w:rPr>
          <w:rFonts w:ascii="Bookman Old Style" w:hAnsi="Bookman Old Style"/>
        </w:rPr>
        <w:t xml:space="preserve">che gestiscono la funzione in forma singola, è attribuito, a favore di detti enti locali, sulla base del dato relativo alla popolazione complessiva residente: </w:t>
      </w:r>
    </w:p>
    <w:p w14:paraId="76A660DE" w14:textId="77777777"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 xml:space="preserve">a) un contributo pari a 35.000 euro annui per ogni operatore di polizia municipale a tempo determinato e indeterminato dall'ente locale, ovvero dei comuni che ne fanno parte, in termini di equivalente a tempo pieno, in numero eccedente il rapporto di 1 a 2000 e fino al raggiungimento del rapporto di 1 a 1.000; </w:t>
      </w:r>
    </w:p>
    <w:p w14:paraId="67DF2419" w14:textId="77777777"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 xml:space="preserve">b) un contributo pari a 20.000 euro annui per ogni operatore di polizia municipale assunto a tempo indeterminato dall’ente locale, ovvero dei comuni che ne fanno parte, in termini di equivalente a tempo pieno, in numero eccedente il rapporto di 1 a 5.000 e fino al raggiungimento del rapporto di 1 a 4.000. </w:t>
      </w:r>
    </w:p>
    <w:p w14:paraId="7678D23B" w14:textId="161E5927"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2.</w:t>
      </w:r>
      <w:r w:rsidR="00901A9A">
        <w:rPr>
          <w:rFonts w:ascii="Bookman Old Style" w:hAnsi="Bookman Old Style"/>
        </w:rPr>
        <w:t xml:space="preserve"> </w:t>
      </w:r>
      <w:r w:rsidRPr="00410289">
        <w:rPr>
          <w:rFonts w:ascii="Bookman Old Style" w:hAnsi="Bookman Old Style"/>
        </w:rPr>
        <w:t>Entro il 28 febbraio di ogni anno, ciascun ente locale di cui all'articolo 30 e ss. del D.Lgs 267/2000, anche per conto dei comuni appartenenti allo stesso, invia al Ministero dell’Interno, secondo le modalità da questo definite, un prospetto riassuntivo che indichi, per il complesso dell'ambito in caso di funzione associata e per ciascun comune, con riferimento all'anno precedente e alle previsioni per l'anno corrente:</w:t>
      </w:r>
      <w:r w:rsidR="00901A9A">
        <w:rPr>
          <w:rFonts w:ascii="Bookman Old Style" w:hAnsi="Bookman Old Style"/>
        </w:rPr>
        <w:t xml:space="preserve"> </w:t>
      </w:r>
    </w:p>
    <w:p w14:paraId="14262B01" w14:textId="77777777"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 xml:space="preserve">a) il numero medio di operatori di Polizia municipale in servizio nell'anno precedente assunti dal Comune nel caso di gestione della funzione in forma singola ovvero dai Comuni che fanno parte della funzione associata o direttamente dall'Unione di Comuni. Si fa riferimento al personale con rapporto di lavoro a tempo indeterminato, secondo la definizione di equivalente a tempo pieno, effettivamente impiegato nei servizi e nella loro organizzazione e pianificazione; </w:t>
      </w:r>
    </w:p>
    <w:p w14:paraId="174C8BB9" w14:textId="77777777"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 xml:space="preserve">b) la suddivisione dell'impiego degli operatori di Polizia municipale di cui alla lettera a) per area di attività. </w:t>
      </w:r>
    </w:p>
    <w:p w14:paraId="6E99012F" w14:textId="21A0E7B3"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3. Il contributo di cui al comma 1 è attribuito dal Ministero dell’Interno a valere sul Fondo</w:t>
      </w:r>
      <w:r w:rsidR="00CF44EC">
        <w:rPr>
          <w:rFonts w:ascii="Bookman Old Style" w:hAnsi="Bookman Old Style"/>
        </w:rPr>
        <w:t xml:space="preserve"> </w:t>
      </w:r>
      <w:r w:rsidRPr="00410289">
        <w:rPr>
          <w:rFonts w:ascii="Bookman Old Style" w:hAnsi="Bookman Old Style"/>
        </w:rPr>
        <w:t>xxxxxxxx. In sede di decreto annuale di riparto del Fondo è riservata a tale fine una quota massima di 180 milioni di euro annui a decorrere dall’anno 2023.</w:t>
      </w:r>
      <w:r w:rsidR="00901A9A">
        <w:rPr>
          <w:rFonts w:ascii="Bookman Old Style" w:hAnsi="Bookman Old Style"/>
        </w:rPr>
        <w:t xml:space="preserve"> </w:t>
      </w:r>
      <w:r w:rsidRPr="00410289">
        <w:rPr>
          <w:rFonts w:ascii="Bookman Old Style" w:hAnsi="Bookman Old Style"/>
        </w:rPr>
        <w:t>Le somme necessarie all’attribuzione dei contributi previsti per l'anno corrente, di seguito denominate «somme prenotate», e quelle destinate alla liquidazione dei contributi relativi all'anno precedente, di seguito denominate «somme liquidabili», sono determinate, sulla base dei prospetti di cui al comma 2, con decreto del</w:t>
      </w:r>
      <w:r w:rsidR="00901A9A">
        <w:rPr>
          <w:rFonts w:ascii="Bookman Old Style" w:hAnsi="Bookman Old Style"/>
        </w:rPr>
        <w:t xml:space="preserve"> </w:t>
      </w:r>
      <w:r w:rsidRPr="00410289">
        <w:rPr>
          <w:rFonts w:ascii="Bookman Old Style" w:hAnsi="Bookman Old Style"/>
        </w:rPr>
        <w:t>Ministro</w:t>
      </w:r>
      <w:r w:rsidR="00901A9A">
        <w:rPr>
          <w:rFonts w:ascii="Bookman Old Style" w:hAnsi="Bookman Old Style"/>
        </w:rPr>
        <w:t xml:space="preserve"> </w:t>
      </w:r>
      <w:r w:rsidRPr="00410289">
        <w:rPr>
          <w:rFonts w:ascii="Bookman Old Style" w:hAnsi="Bookman Old Style"/>
        </w:rPr>
        <w:t xml:space="preserve">dell’Interno entro il 30 giugno di ciascun anno. Le somme prenotate sono considerate indisponibili per l'anno corrente e per tutti i successivi in sede di riparto delle risorse. Eventuali somme prenotate in un anno e non considerate liquidabili nell'anno successivo rientrano nella disponibilità del Fondo nazionale per la Sicurezza urbana e sono ripartite in sede di riparto annuale delle risorse. Qualora, a seguito delle richieste da parte degli Enti locali, le somme prenotate risultino eccedenti rispetto alla quota massima stabilita, si procede comunque all'attribuzione delle somme relative ai contributi già riconosciuti negli anni precedenti e ancora dovuti e alla riduzione proporzionale dei contributi di nuova attribuzione in relazione alla capienza della quota disponibile. I contributi di cui al comma 1 non spettano in caso di mancata o tardiva trasmissione delle informazioni previste dal comma 2. </w:t>
      </w:r>
    </w:p>
    <w:p w14:paraId="7ECF6520" w14:textId="77777777"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4. Con decreto del Ministro dell’Interno sono definite le modalità in base alle quali il contributo è assegnato ai Comuni, anche con riferimento ai comuni che versino in stato di dissesto o predissesto o siano comunque impossibilitati a realizzare le assunzioni. nonché' ai comuni che esercitano in forma associata le funzioni relative alla Polizia municipale.</w:t>
      </w:r>
    </w:p>
    <w:p w14:paraId="756782F8" w14:textId="74F1D3DA"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5.</w:t>
      </w:r>
      <w:r w:rsidR="00901A9A">
        <w:rPr>
          <w:rFonts w:ascii="Bookman Old Style" w:hAnsi="Bookman Old Style"/>
        </w:rPr>
        <w:t xml:space="preserve"> </w:t>
      </w:r>
      <w:r w:rsidRPr="00410289">
        <w:rPr>
          <w:rFonts w:ascii="Bookman Old Style" w:hAnsi="Bookman Old Style"/>
        </w:rPr>
        <w:t>Per le finalità di cui al comma 1, i</w:t>
      </w:r>
      <w:r w:rsidR="00901A9A">
        <w:rPr>
          <w:rFonts w:ascii="Bookman Old Style" w:hAnsi="Bookman Old Style"/>
        </w:rPr>
        <w:t xml:space="preserve"> </w:t>
      </w:r>
      <w:r w:rsidRPr="00410289">
        <w:rPr>
          <w:rFonts w:ascii="Bookman Old Style" w:hAnsi="Bookman Old Style"/>
        </w:rPr>
        <w:t>comuni</w:t>
      </w:r>
      <w:r w:rsidR="00901A9A">
        <w:rPr>
          <w:rFonts w:ascii="Bookman Old Style" w:hAnsi="Bookman Old Style"/>
        </w:rPr>
        <w:t xml:space="preserve"> </w:t>
      </w:r>
      <w:r w:rsidRPr="00410289">
        <w:rPr>
          <w:rFonts w:ascii="Bookman Old Style" w:hAnsi="Bookman Old Style"/>
        </w:rPr>
        <w:t>possono</w:t>
      </w:r>
      <w:r w:rsidR="00901A9A">
        <w:rPr>
          <w:rFonts w:ascii="Bookman Old Style" w:hAnsi="Bookman Old Style"/>
        </w:rPr>
        <w:t xml:space="preserve"> </w:t>
      </w:r>
      <w:r w:rsidRPr="00410289">
        <w:rPr>
          <w:rFonts w:ascii="Bookman Old Style" w:hAnsi="Bookman Old Style"/>
        </w:rPr>
        <w:t>effettuare assunzioni di personale della Polizia municipale, con</w:t>
      </w:r>
      <w:r w:rsidR="00901A9A">
        <w:rPr>
          <w:rFonts w:ascii="Bookman Old Style" w:hAnsi="Bookman Old Style"/>
        </w:rPr>
        <w:t xml:space="preserve"> </w:t>
      </w:r>
      <w:r w:rsidRPr="00410289">
        <w:rPr>
          <w:rFonts w:ascii="Bookman Old Style" w:hAnsi="Bookman Old Style"/>
        </w:rPr>
        <w:t>rapporto</w:t>
      </w:r>
      <w:r w:rsidR="00901A9A">
        <w:rPr>
          <w:rFonts w:ascii="Bookman Old Style" w:hAnsi="Bookman Old Style"/>
        </w:rPr>
        <w:t xml:space="preserve"> </w:t>
      </w:r>
      <w:r w:rsidRPr="00410289">
        <w:rPr>
          <w:rFonts w:ascii="Bookman Old Style" w:hAnsi="Bookman Old Style"/>
        </w:rPr>
        <w:t>di</w:t>
      </w:r>
      <w:r w:rsidR="00901A9A">
        <w:rPr>
          <w:rFonts w:ascii="Bookman Old Style" w:hAnsi="Bookman Old Style"/>
        </w:rPr>
        <w:t xml:space="preserve"> </w:t>
      </w:r>
      <w:r w:rsidRPr="00410289">
        <w:rPr>
          <w:rFonts w:ascii="Bookman Old Style" w:hAnsi="Bookman Old Style"/>
        </w:rPr>
        <w:t>lavoro</w:t>
      </w:r>
      <w:r w:rsidR="00901A9A">
        <w:rPr>
          <w:rFonts w:ascii="Bookman Old Style" w:hAnsi="Bookman Old Style"/>
        </w:rPr>
        <w:t xml:space="preserve"> </w:t>
      </w:r>
      <w:r w:rsidRPr="00410289">
        <w:rPr>
          <w:rFonts w:ascii="Bookman Old Style" w:hAnsi="Bookman Old Style"/>
        </w:rPr>
        <w:t>a</w:t>
      </w:r>
      <w:r w:rsidR="00901A9A">
        <w:rPr>
          <w:rFonts w:ascii="Bookman Old Style" w:hAnsi="Bookman Old Style"/>
        </w:rPr>
        <w:t xml:space="preserve"> </w:t>
      </w:r>
      <w:r w:rsidRPr="00410289">
        <w:rPr>
          <w:rFonts w:ascii="Bookman Old Style" w:hAnsi="Bookman Old Style"/>
        </w:rPr>
        <w:t>tempo determinato indeterminato,</w:t>
      </w:r>
      <w:r w:rsidR="00901A9A">
        <w:rPr>
          <w:rFonts w:ascii="Bookman Old Style" w:hAnsi="Bookman Old Style"/>
        </w:rPr>
        <w:t xml:space="preserve"> </w:t>
      </w:r>
      <w:r w:rsidRPr="00410289">
        <w:rPr>
          <w:rFonts w:ascii="Bookman Old Style" w:hAnsi="Bookman Old Style"/>
        </w:rPr>
        <w:t>fermo</w:t>
      </w:r>
      <w:r w:rsidR="00901A9A">
        <w:rPr>
          <w:rFonts w:ascii="Bookman Old Style" w:hAnsi="Bookman Old Style"/>
        </w:rPr>
        <w:t xml:space="preserve"> </w:t>
      </w:r>
      <w:r w:rsidRPr="00410289">
        <w:rPr>
          <w:rFonts w:ascii="Bookman Old Style" w:hAnsi="Bookman Old Style"/>
        </w:rPr>
        <w:t>restando</w:t>
      </w:r>
      <w:r w:rsidR="00901A9A">
        <w:rPr>
          <w:rFonts w:ascii="Bookman Old Style" w:hAnsi="Bookman Old Style"/>
        </w:rPr>
        <w:t xml:space="preserve"> </w:t>
      </w:r>
      <w:r w:rsidRPr="00410289">
        <w:rPr>
          <w:rFonts w:ascii="Bookman Old Style" w:hAnsi="Bookman Old Style"/>
        </w:rPr>
        <w:t>il</w:t>
      </w:r>
      <w:r w:rsidR="00901A9A">
        <w:rPr>
          <w:rFonts w:ascii="Bookman Old Style" w:hAnsi="Bookman Old Style"/>
        </w:rPr>
        <w:t xml:space="preserve"> </w:t>
      </w:r>
      <w:r w:rsidRPr="00410289">
        <w:rPr>
          <w:rFonts w:ascii="Bookman Old Style" w:hAnsi="Bookman Old Style"/>
        </w:rPr>
        <w:t>rispetto</w:t>
      </w:r>
      <w:r w:rsidR="00901A9A">
        <w:rPr>
          <w:rFonts w:ascii="Bookman Old Style" w:hAnsi="Bookman Old Style"/>
        </w:rPr>
        <w:t xml:space="preserve"> </w:t>
      </w:r>
      <w:r w:rsidRPr="00410289">
        <w:rPr>
          <w:rFonts w:ascii="Bookman Old Style" w:hAnsi="Bookman Old Style"/>
        </w:rPr>
        <w:t>degli</w:t>
      </w:r>
      <w:r w:rsidR="00901A9A">
        <w:rPr>
          <w:rFonts w:ascii="Bookman Old Style" w:hAnsi="Bookman Old Style"/>
        </w:rPr>
        <w:t xml:space="preserve"> </w:t>
      </w:r>
      <w:r w:rsidRPr="00410289">
        <w:rPr>
          <w:rFonts w:ascii="Bookman Old Style" w:hAnsi="Bookman Old Style"/>
        </w:rPr>
        <w:t>obiettivi</w:t>
      </w:r>
      <w:r w:rsidR="00901A9A">
        <w:rPr>
          <w:rFonts w:ascii="Bookman Old Style" w:hAnsi="Bookman Old Style"/>
        </w:rPr>
        <w:t xml:space="preserve"> </w:t>
      </w:r>
      <w:r w:rsidRPr="00410289">
        <w:rPr>
          <w:rFonts w:ascii="Bookman Old Style" w:hAnsi="Bookman Old Style"/>
        </w:rPr>
        <w:t>del pareggio di bilancio, in deroga</w:t>
      </w:r>
      <w:r w:rsidR="00901A9A">
        <w:rPr>
          <w:rFonts w:ascii="Bookman Old Style" w:hAnsi="Bookman Old Style"/>
        </w:rPr>
        <w:t xml:space="preserve"> </w:t>
      </w:r>
      <w:r w:rsidRPr="00410289">
        <w:rPr>
          <w:rFonts w:ascii="Bookman Old Style" w:hAnsi="Bookman Old Style"/>
        </w:rPr>
        <w:t>ai</w:t>
      </w:r>
      <w:r w:rsidR="00901A9A">
        <w:rPr>
          <w:rFonts w:ascii="Bookman Old Style" w:hAnsi="Bookman Old Style"/>
        </w:rPr>
        <w:t xml:space="preserve"> </w:t>
      </w:r>
      <w:r w:rsidRPr="00410289">
        <w:rPr>
          <w:rFonts w:ascii="Bookman Old Style" w:hAnsi="Bookman Old Style"/>
        </w:rPr>
        <w:t>vincoli</w:t>
      </w:r>
      <w:r w:rsidR="00901A9A">
        <w:rPr>
          <w:rFonts w:ascii="Bookman Old Style" w:hAnsi="Bookman Old Style"/>
        </w:rPr>
        <w:t xml:space="preserve"> </w:t>
      </w:r>
      <w:r w:rsidRPr="00410289">
        <w:rPr>
          <w:rFonts w:ascii="Bookman Old Style" w:hAnsi="Bookman Old Style"/>
        </w:rPr>
        <w:t>di</w:t>
      </w:r>
      <w:r w:rsidR="00901A9A">
        <w:rPr>
          <w:rFonts w:ascii="Bookman Old Style" w:hAnsi="Bookman Old Style"/>
        </w:rPr>
        <w:t xml:space="preserve"> </w:t>
      </w:r>
      <w:r w:rsidRPr="00410289">
        <w:rPr>
          <w:rFonts w:ascii="Bookman Old Style" w:hAnsi="Bookman Old Style"/>
        </w:rPr>
        <w:t>contenimento</w:t>
      </w:r>
      <w:r w:rsidR="00901A9A">
        <w:rPr>
          <w:rFonts w:ascii="Bookman Old Style" w:hAnsi="Bookman Old Style"/>
        </w:rPr>
        <w:t xml:space="preserve"> </w:t>
      </w:r>
      <w:r w:rsidRPr="00410289">
        <w:rPr>
          <w:rFonts w:ascii="Bookman Old Style" w:hAnsi="Bookman Old Style"/>
        </w:rPr>
        <w:t>della spesa di personale di cui all'articolo 9, comma 28, del decreto-legge 31 maggio 2010, n. 78, convertito, con modificazioni, dalla legge</w:t>
      </w:r>
      <w:r w:rsidR="00901A9A">
        <w:rPr>
          <w:rFonts w:ascii="Bookman Old Style" w:hAnsi="Bookman Old Style"/>
        </w:rPr>
        <w:t xml:space="preserve"> </w:t>
      </w:r>
      <w:r w:rsidRPr="00410289">
        <w:rPr>
          <w:rFonts w:ascii="Bookman Old Style" w:hAnsi="Bookman Old Style"/>
        </w:rPr>
        <w:t>30 luglio 2010, n. 122, e all'articolo 259, comma 6,</w:t>
      </w:r>
      <w:r w:rsidR="00901A9A">
        <w:rPr>
          <w:rFonts w:ascii="Bookman Old Style" w:hAnsi="Bookman Old Style"/>
        </w:rPr>
        <w:t xml:space="preserve"> </w:t>
      </w:r>
      <w:r w:rsidRPr="00410289">
        <w:rPr>
          <w:rFonts w:ascii="Bookman Old Style" w:hAnsi="Bookman Old Style"/>
        </w:rPr>
        <w:t>del testo unico delle leggi sull'ordinamento degli enti locali, di cui al decreto legislativo 18 agosto 2000, n. 267, all'articolo 1, commi 557 e 562,</w:t>
      </w:r>
      <w:r w:rsidR="00901A9A">
        <w:rPr>
          <w:rFonts w:ascii="Bookman Old Style" w:hAnsi="Bookman Old Style"/>
        </w:rPr>
        <w:t xml:space="preserve"> </w:t>
      </w:r>
      <w:r w:rsidRPr="00410289">
        <w:rPr>
          <w:rFonts w:ascii="Bookman Old Style" w:hAnsi="Bookman Old Style"/>
        </w:rPr>
        <w:t>della</w:t>
      </w:r>
      <w:r w:rsidR="00901A9A">
        <w:rPr>
          <w:rFonts w:ascii="Bookman Old Style" w:hAnsi="Bookman Old Style"/>
        </w:rPr>
        <w:t xml:space="preserve"> </w:t>
      </w:r>
      <w:r w:rsidRPr="00410289">
        <w:rPr>
          <w:rFonts w:ascii="Bookman Old Style" w:hAnsi="Bookman Old Style"/>
        </w:rPr>
        <w:t>legge 27 dicembre 2006, n. 296, e all'articolo</w:t>
      </w:r>
      <w:r w:rsidR="00901A9A">
        <w:rPr>
          <w:rFonts w:ascii="Bookman Old Style" w:hAnsi="Bookman Old Style"/>
        </w:rPr>
        <w:t xml:space="preserve"> </w:t>
      </w:r>
      <w:r w:rsidRPr="00410289">
        <w:rPr>
          <w:rFonts w:ascii="Bookman Old Style" w:hAnsi="Bookman Old Style"/>
        </w:rPr>
        <w:t>33, comma 2,</w:t>
      </w:r>
      <w:r w:rsidR="00901A9A">
        <w:rPr>
          <w:rFonts w:ascii="Bookman Old Style" w:hAnsi="Bookman Old Style"/>
        </w:rPr>
        <w:t xml:space="preserve"> </w:t>
      </w:r>
      <w:r w:rsidRPr="00410289">
        <w:rPr>
          <w:rFonts w:ascii="Bookman Old Style" w:hAnsi="Bookman Old Style"/>
        </w:rPr>
        <w:t>del decreto-legge 30 aprile 2019, n. 34, convertito,</w:t>
      </w:r>
      <w:r w:rsidR="00901A9A">
        <w:rPr>
          <w:rFonts w:ascii="Bookman Old Style" w:hAnsi="Bookman Old Style"/>
        </w:rPr>
        <w:t xml:space="preserve"> </w:t>
      </w:r>
      <w:r w:rsidRPr="00410289">
        <w:rPr>
          <w:rFonts w:ascii="Bookman Old Style" w:hAnsi="Bookman Old Style"/>
        </w:rPr>
        <w:t>con</w:t>
      </w:r>
      <w:r w:rsidR="00901A9A">
        <w:rPr>
          <w:rFonts w:ascii="Bookman Old Style" w:hAnsi="Bookman Old Style"/>
        </w:rPr>
        <w:t xml:space="preserve"> </w:t>
      </w:r>
      <w:r w:rsidRPr="00410289">
        <w:rPr>
          <w:rFonts w:ascii="Bookman Old Style" w:hAnsi="Bookman Old Style"/>
        </w:rPr>
        <w:t>modificazioni, dalla legge 28 giugno 2019, n. 58,</w:t>
      </w:r>
      <w:r w:rsidR="00901A9A">
        <w:rPr>
          <w:rFonts w:ascii="Bookman Old Style" w:hAnsi="Bookman Old Style"/>
        </w:rPr>
        <w:t xml:space="preserve"> </w:t>
      </w:r>
      <w:r w:rsidRPr="00410289">
        <w:rPr>
          <w:rFonts w:ascii="Bookman Old Style" w:hAnsi="Bookman Old Style"/>
        </w:rPr>
        <w:t>ai</w:t>
      </w:r>
      <w:r w:rsidR="00901A9A">
        <w:rPr>
          <w:rFonts w:ascii="Bookman Old Style" w:hAnsi="Bookman Old Style"/>
        </w:rPr>
        <w:t xml:space="preserve"> </w:t>
      </w:r>
      <w:r w:rsidRPr="00410289">
        <w:rPr>
          <w:rFonts w:ascii="Bookman Old Style" w:hAnsi="Bookman Old Style"/>
        </w:rPr>
        <w:t>sensi</w:t>
      </w:r>
      <w:r w:rsidR="00901A9A">
        <w:rPr>
          <w:rFonts w:ascii="Bookman Old Style" w:hAnsi="Bookman Old Style"/>
        </w:rPr>
        <w:t xml:space="preserve"> </w:t>
      </w:r>
      <w:r w:rsidRPr="00410289">
        <w:rPr>
          <w:rFonts w:ascii="Bookman Old Style" w:hAnsi="Bookman Old Style"/>
        </w:rPr>
        <w:t>dell'articolo</w:t>
      </w:r>
      <w:r w:rsidR="00901A9A">
        <w:rPr>
          <w:rFonts w:ascii="Bookman Old Style" w:hAnsi="Bookman Old Style"/>
        </w:rPr>
        <w:t xml:space="preserve"> </w:t>
      </w:r>
      <w:r w:rsidRPr="00410289">
        <w:rPr>
          <w:rFonts w:ascii="Bookman Old Style" w:hAnsi="Bookman Old Style"/>
        </w:rPr>
        <w:t>57,</w:t>
      </w:r>
      <w:r w:rsidR="00901A9A">
        <w:rPr>
          <w:rFonts w:ascii="Bookman Old Style" w:hAnsi="Bookman Old Style"/>
        </w:rPr>
        <w:t xml:space="preserve"> </w:t>
      </w:r>
      <w:r w:rsidRPr="00410289">
        <w:rPr>
          <w:rFonts w:ascii="Bookman Old Style" w:hAnsi="Bookman Old Style"/>
        </w:rPr>
        <w:t>comma 3-septies, del decreto-legge 14 agosto 2020, n. 104, convertito,</w:t>
      </w:r>
      <w:r w:rsidR="00901A9A">
        <w:rPr>
          <w:rFonts w:ascii="Bookman Old Style" w:hAnsi="Bookman Old Style"/>
        </w:rPr>
        <w:t xml:space="preserve"> </w:t>
      </w:r>
      <w:r w:rsidRPr="00410289">
        <w:rPr>
          <w:rFonts w:ascii="Bookman Old Style" w:hAnsi="Bookman Old Style"/>
        </w:rPr>
        <w:t>con modificazioni, dalla legge 13 ottobre 2020, n. 126.</w:t>
      </w:r>
      <w:r w:rsidR="00901A9A">
        <w:rPr>
          <w:rFonts w:ascii="Bookman Old Style" w:hAnsi="Bookman Old Style"/>
        </w:rPr>
        <w:t xml:space="preserve"> </w:t>
      </w:r>
    </w:p>
    <w:p w14:paraId="03FADE50" w14:textId="7F1D0109" w:rsidR="004664F0" w:rsidRPr="00410289" w:rsidRDefault="004664F0" w:rsidP="007B094F">
      <w:pPr>
        <w:shd w:val="clear" w:color="auto" w:fill="FFFFFF"/>
        <w:spacing w:after="80"/>
        <w:jc w:val="both"/>
        <w:rPr>
          <w:rFonts w:ascii="Bookman Old Style" w:hAnsi="Bookman Old Style"/>
        </w:rPr>
      </w:pPr>
      <w:r w:rsidRPr="00410289">
        <w:rPr>
          <w:rFonts w:ascii="Bookman Old Style" w:hAnsi="Bookman Old Style"/>
        </w:rPr>
        <w:t>6. Le disposizioni del comma 1 , per le finalità e con le modalità ivi previste, si applicano anche ai comuni strutturalmente deficitari o sottoposti a procedura di riequilibrio finanziario pluriennale o in dissesto finanziario secondo quanto previsto dagli articoli 242, 243, 243-bis, 243-ter e 244 del testo unico delle</w:t>
      </w:r>
      <w:r w:rsidR="00901A9A">
        <w:rPr>
          <w:rFonts w:ascii="Bookman Old Style" w:hAnsi="Bookman Old Style"/>
        </w:rPr>
        <w:t xml:space="preserve"> </w:t>
      </w:r>
      <w:r w:rsidRPr="00410289">
        <w:rPr>
          <w:rFonts w:ascii="Bookman Old Style" w:hAnsi="Bookman Old Style"/>
        </w:rPr>
        <w:t>leggi</w:t>
      </w:r>
      <w:r w:rsidR="00901A9A">
        <w:rPr>
          <w:rFonts w:ascii="Bookman Old Style" w:hAnsi="Bookman Old Style"/>
        </w:rPr>
        <w:t xml:space="preserve"> </w:t>
      </w:r>
      <w:r w:rsidRPr="00410289">
        <w:rPr>
          <w:rFonts w:ascii="Bookman Old Style" w:hAnsi="Bookman Old Style"/>
        </w:rPr>
        <w:t>sull'ordinamento degli enti locali, di cui al decreto legislativo 18 agosto</w:t>
      </w:r>
      <w:r w:rsidR="00901A9A">
        <w:rPr>
          <w:rFonts w:ascii="Bookman Old Style" w:hAnsi="Bookman Old Style"/>
        </w:rPr>
        <w:t xml:space="preserve"> </w:t>
      </w:r>
      <w:r w:rsidRPr="00410289">
        <w:rPr>
          <w:rFonts w:ascii="Bookman Old Style" w:hAnsi="Bookman Old Style"/>
        </w:rPr>
        <w:t>2000,</w:t>
      </w:r>
      <w:r w:rsidR="00901A9A">
        <w:rPr>
          <w:rFonts w:ascii="Bookman Old Style" w:hAnsi="Bookman Old Style"/>
        </w:rPr>
        <w:t xml:space="preserve"> </w:t>
      </w:r>
      <w:r w:rsidRPr="00410289">
        <w:rPr>
          <w:rFonts w:ascii="Bookman Old Style" w:hAnsi="Bookman Old Style"/>
        </w:rPr>
        <w:t>n. 267, è non è richiesta la verifica della Commissione per la stabilità</w:t>
      </w:r>
      <w:r w:rsidR="00901A9A">
        <w:rPr>
          <w:rFonts w:ascii="Bookman Old Style" w:hAnsi="Bookman Old Style"/>
        </w:rPr>
        <w:t xml:space="preserve"> </w:t>
      </w:r>
      <w:r w:rsidRPr="00410289">
        <w:rPr>
          <w:rFonts w:ascii="Bookman Old Style" w:hAnsi="Bookman Old Style"/>
        </w:rPr>
        <w:t>finanziaria degli enti locali di cui all'articolo 155 del predetto</w:t>
      </w:r>
      <w:r w:rsidR="00901A9A">
        <w:rPr>
          <w:rFonts w:ascii="Bookman Old Style" w:hAnsi="Bookman Old Style"/>
        </w:rPr>
        <w:t xml:space="preserve"> </w:t>
      </w:r>
      <w:r w:rsidRPr="00410289">
        <w:rPr>
          <w:rFonts w:ascii="Bookman Old Style" w:hAnsi="Bookman Old Style"/>
        </w:rPr>
        <w:t>testo</w:t>
      </w:r>
      <w:r w:rsidR="00901A9A">
        <w:rPr>
          <w:rFonts w:ascii="Bookman Old Style" w:hAnsi="Bookman Old Style"/>
        </w:rPr>
        <w:t xml:space="preserve"> </w:t>
      </w:r>
      <w:r w:rsidRPr="00410289">
        <w:rPr>
          <w:rFonts w:ascii="Bookman Old Style" w:hAnsi="Bookman Old Style"/>
        </w:rPr>
        <w:t>unico.</w:t>
      </w:r>
    </w:p>
    <w:p w14:paraId="749CCB2B" w14:textId="77777777" w:rsidR="004664F0" w:rsidRDefault="004664F0" w:rsidP="007B094F">
      <w:pPr>
        <w:spacing w:after="80"/>
        <w:jc w:val="center"/>
        <w:rPr>
          <w:rFonts w:ascii="Bookman Old Style" w:hAnsi="Bookman Old Style"/>
          <w:b/>
          <w:bCs/>
        </w:rPr>
      </w:pPr>
      <w:r>
        <w:rPr>
          <w:rFonts w:ascii="Bookman Old Style" w:hAnsi="Bookman Old Style"/>
          <w:b/>
          <w:bCs/>
        </w:rPr>
        <w:t>Motivazione</w:t>
      </w:r>
    </w:p>
    <w:p w14:paraId="3E2B1FE4" w14:textId="17C3730C" w:rsidR="004664F0" w:rsidRPr="00D37C4F" w:rsidRDefault="004664F0" w:rsidP="007B094F">
      <w:pPr>
        <w:spacing w:after="80"/>
        <w:jc w:val="both"/>
        <w:rPr>
          <w:rFonts w:ascii="Bookman Old Style" w:hAnsi="Bookman Old Style"/>
          <w:i/>
          <w:iCs/>
        </w:rPr>
      </w:pPr>
      <w:r w:rsidRPr="00D37C4F">
        <w:rPr>
          <w:rFonts w:ascii="Bookman Old Style" w:hAnsi="Bookman Old Style"/>
          <w:i/>
          <w:iCs/>
        </w:rPr>
        <w:t>Negli ultimi anni, sono stati numerosi i tentativi di varare una riforma della Polizia municipale e questo deve suggerire al legislatore alcune riflessioni in ordine alla rispondenza dell’attuale legislazione con le concrete ed effettive esigenze del settore.</w:t>
      </w:r>
      <w:r w:rsidR="00901A9A">
        <w:rPr>
          <w:rFonts w:ascii="Bookman Old Style" w:hAnsi="Bookman Old Style"/>
          <w:i/>
          <w:iCs/>
        </w:rPr>
        <w:t xml:space="preserve"> </w:t>
      </w:r>
      <w:r w:rsidRPr="00D37C4F">
        <w:rPr>
          <w:rFonts w:ascii="Bookman Old Style" w:hAnsi="Bookman Old Style"/>
          <w:i/>
          <w:iCs/>
        </w:rPr>
        <w:t>Ciò a fronte delle molteplici e complesse attività richieste agli operatori delle Polizie Locali, sia in termini quantitativi che qualitativi. D’altra parte, si registra una consistente contrazione del personale in servizio negli enti locali indotto da più di un decennio di politiche restrittive sulla spesa di personale, che ha impattato in maniera particolarmente rilevante sul settore della Polizia municipale, per effetto dell’incremento dell’età media del personale in servizio, con conseguente riduzione delle unità di personale destinabili ai servizi operativi sul territorio. Tra il 2009 e il 2020 si è assistito ad una diminuzione complessiva degli organici di Polizia Locale di oltre diecimila unità. Inoltre, si assiste ad un incremento dei pensionamenti, come ulteriore conseguenza dell’invecchiamento dell’età del personale in servizio. Tale invecchiamento, peraltro, incide, inevitabilmente, anche sulla diminuzione del personale che può essere adibito ai servizi di controllo esterno.</w:t>
      </w:r>
      <w:r w:rsidR="00901A9A">
        <w:rPr>
          <w:rFonts w:ascii="Bookman Old Style" w:hAnsi="Bookman Old Style"/>
          <w:i/>
          <w:iCs/>
        </w:rPr>
        <w:t xml:space="preserve"> </w:t>
      </w:r>
    </w:p>
    <w:p w14:paraId="17733DA1" w14:textId="59311FB2" w:rsidR="004664F0" w:rsidRDefault="004664F0" w:rsidP="007B094F">
      <w:pPr>
        <w:spacing w:after="80"/>
        <w:jc w:val="both"/>
        <w:rPr>
          <w:rFonts w:ascii="Bookman Old Style" w:hAnsi="Bookman Old Style"/>
          <w:i/>
          <w:iCs/>
        </w:rPr>
      </w:pPr>
      <w:r w:rsidRPr="00D37C4F">
        <w:rPr>
          <w:rFonts w:ascii="Bookman Old Style" w:hAnsi="Bookman Old Style"/>
          <w:i/>
          <w:iCs/>
        </w:rPr>
        <w:t>Risulta pertanto necessario procedere alla messa a regime di un potenziamento degli organici delle Polizie municipali che, in coerenza con il dato della relativa popolazione residente,</w:t>
      </w:r>
      <w:r w:rsidR="00901A9A">
        <w:rPr>
          <w:rFonts w:ascii="Bookman Old Style" w:hAnsi="Bookman Old Style"/>
          <w:i/>
          <w:iCs/>
        </w:rPr>
        <w:t xml:space="preserve"> </w:t>
      </w:r>
      <w:r w:rsidRPr="00D37C4F">
        <w:rPr>
          <w:rFonts w:ascii="Bookman Old Style" w:hAnsi="Bookman Old Style"/>
          <w:i/>
          <w:iCs/>
        </w:rPr>
        <w:t xml:space="preserve">possa rispondere meglio alle numerose e differenti esigenze dei territori. </w:t>
      </w:r>
    </w:p>
    <w:p w14:paraId="621FFE4E" w14:textId="77777777" w:rsidR="00D02BCA" w:rsidRDefault="00D02BCA" w:rsidP="007B094F">
      <w:pPr>
        <w:spacing w:after="80"/>
        <w:jc w:val="both"/>
        <w:rPr>
          <w:rFonts w:ascii="Bookman Old Style" w:hAnsi="Bookman Old Style"/>
          <w:i/>
          <w:iCs/>
        </w:rPr>
      </w:pPr>
    </w:p>
    <w:p w14:paraId="44397FF7" w14:textId="329670C9" w:rsidR="00C64DDF" w:rsidRPr="00CA1B4E" w:rsidRDefault="00CA1B4E" w:rsidP="00C605AD">
      <w:pPr>
        <w:pStyle w:val="Titolo3"/>
        <w:numPr>
          <w:ilvl w:val="0"/>
          <w:numId w:val="4"/>
        </w:numPr>
        <w:spacing w:before="0" w:after="80"/>
        <w:ind w:left="0" w:firstLine="0"/>
        <w:rPr>
          <w:rFonts w:ascii="Bookman Old Style" w:hAnsi="Bookman Old Style"/>
          <w:b/>
          <w:bCs/>
          <w:color w:val="2F5496" w:themeColor="accent1" w:themeShade="BF"/>
          <w:sz w:val="20"/>
          <w:szCs w:val="20"/>
        </w:rPr>
      </w:pPr>
      <w:bookmarkStart w:id="21" w:name="_Toc121214261"/>
      <w:r w:rsidRPr="00C605AD">
        <w:rPr>
          <w:rFonts w:ascii="Bookman Old Style" w:hAnsi="Bookman Old Style"/>
          <w:b/>
          <w:bCs/>
          <w:color w:val="2F5496" w:themeColor="accent1" w:themeShade="BF"/>
          <w:sz w:val="22"/>
          <w:szCs w:val="22"/>
        </w:rPr>
        <w:t>Estensione</w:t>
      </w:r>
      <w:r w:rsidRPr="00CA1B4E">
        <w:rPr>
          <w:rFonts w:ascii="Bookman Old Style" w:hAnsi="Bookman Old Style" w:cs="Bookman Old Style"/>
          <w:b/>
          <w:bCs/>
          <w:color w:val="2F5496"/>
          <w:sz w:val="22"/>
          <w:szCs w:val="22"/>
          <w:lang w:eastAsia="it-IT"/>
        </w:rPr>
        <w:t xml:space="preserve"> riduzione IVA a fronte di maggiori costi del teleriscaldamento (art.4)</w:t>
      </w:r>
      <w:r w:rsidR="00261F6F">
        <w:rPr>
          <w:rFonts w:ascii="Bookman Old Style" w:hAnsi="Bookman Old Style" w:cs="Bookman Old Style"/>
          <w:b/>
          <w:bCs/>
          <w:color w:val="2F5496"/>
          <w:sz w:val="22"/>
          <w:szCs w:val="22"/>
          <w:lang w:eastAsia="it-IT"/>
        </w:rPr>
        <w:t>**</w:t>
      </w:r>
      <w:bookmarkEnd w:id="21"/>
    </w:p>
    <w:p w14:paraId="732D10B4" w14:textId="77777777" w:rsidR="00700D18" w:rsidRPr="004533E5" w:rsidRDefault="00700D18" w:rsidP="00EA4113">
      <w:pPr>
        <w:spacing w:after="80"/>
        <w:rPr>
          <w:rFonts w:ascii="Bookman Old Style" w:hAnsi="Bookman Old Style"/>
          <w:i/>
          <w:iCs/>
          <w:lang w:eastAsia="it-IT"/>
        </w:rPr>
      </w:pPr>
      <w:r w:rsidRPr="004533E5">
        <w:rPr>
          <w:rFonts w:ascii="Bookman Old Style" w:hAnsi="Bookman Old Style"/>
          <w:i/>
          <w:iCs/>
          <w:lang w:eastAsia="it-IT"/>
        </w:rPr>
        <w:t>Dopo l’articolo 4, inserire il seguente:</w:t>
      </w:r>
    </w:p>
    <w:p w14:paraId="22E6B9EF" w14:textId="77777777" w:rsidR="00700D18" w:rsidRPr="004533E5" w:rsidRDefault="00700D18" w:rsidP="00EA4113">
      <w:pPr>
        <w:spacing w:after="80"/>
        <w:rPr>
          <w:rFonts w:ascii="Bookman Old Style" w:hAnsi="Bookman Old Style"/>
          <w:i/>
          <w:iCs/>
          <w:lang w:eastAsia="it-IT"/>
        </w:rPr>
      </w:pPr>
      <w:r w:rsidRPr="004533E5">
        <w:rPr>
          <w:rFonts w:ascii="Bookman Old Style" w:hAnsi="Bookman Old Style"/>
          <w:i/>
          <w:iCs/>
          <w:lang w:eastAsia="it-IT"/>
        </w:rPr>
        <w:t>“Art. 4-bis (Estensione riduzione IVA al settore del teleriscaldamento)</w:t>
      </w:r>
    </w:p>
    <w:p w14:paraId="0877D913" w14:textId="2A639AB2" w:rsidR="00700D18" w:rsidRPr="00700D18" w:rsidRDefault="00700D18" w:rsidP="00EA4113">
      <w:pPr>
        <w:spacing w:after="80"/>
        <w:jc w:val="both"/>
        <w:rPr>
          <w:rFonts w:ascii="Bookman Old Style" w:hAnsi="Bookman Old Style" w:cs="Bookman Old Style"/>
          <w:color w:val="000000"/>
          <w:lang w:eastAsia="it-IT"/>
        </w:rPr>
      </w:pPr>
      <w:r>
        <w:rPr>
          <w:rFonts w:ascii="Bookman Old Style" w:hAnsi="Bookman Old Style" w:cs="Bookman Old Style"/>
          <w:color w:val="000000"/>
          <w:lang w:eastAsia="it-IT"/>
        </w:rPr>
        <w:t xml:space="preserve">1. </w:t>
      </w:r>
      <w:r w:rsidRPr="00700D18">
        <w:rPr>
          <w:rFonts w:ascii="Bookman Old Style" w:hAnsi="Bookman Old Style" w:cs="Bookman Old Style"/>
          <w:color w:val="000000"/>
          <w:lang w:eastAsia="it-IT"/>
        </w:rPr>
        <w:t>Le disposizioni di cui all’articolo 1-</w:t>
      </w:r>
      <w:r w:rsidRPr="00700D18">
        <w:rPr>
          <w:rFonts w:ascii="Bookman Old Style" w:hAnsi="Bookman Old Style" w:cs="Bookman Old Style"/>
          <w:i/>
          <w:iCs/>
          <w:color w:val="000000"/>
          <w:lang w:eastAsia="it-IT"/>
        </w:rPr>
        <w:t>quater</w:t>
      </w:r>
      <w:r w:rsidRPr="00700D18">
        <w:rPr>
          <w:rFonts w:ascii="Bookman Old Style" w:hAnsi="Bookman Old Style" w:cs="Bookman Old Style"/>
          <w:color w:val="000000"/>
          <w:lang w:eastAsia="it-IT"/>
        </w:rPr>
        <w:t> del decreto legge 17 maggio 2022, n. 50, convertito con modificazioni dalla legge 15 luglio 2022, n. 91, come integrate dall’articolo 5 del decreto-legge 9 agosto 2022, n. 115, convertito con modificazioni dalla legge 21 settembre 2022, n. 142, relative all’applicazione dell’aliquota IVA ridotta al 5% per le forniture di gas naturale</w:t>
      </w:r>
      <w:r w:rsidRPr="00700D18">
        <w:rPr>
          <w:rFonts w:ascii="Bookman Old Style" w:hAnsi="Bookman Old Style" w:cs="Bookman Old Style"/>
          <w:lang w:eastAsia="it-IT"/>
        </w:rPr>
        <w:t> e per le somministrazioni di energia termica prodotta con gas metano in esecuzione di un contratto servizio energia di cui all’articolo 16, comma 4, del decreto legislativo 30 maggio 2008, n.115,</w:t>
      </w:r>
      <w:r w:rsidRPr="00700D18">
        <w:rPr>
          <w:rFonts w:ascii="Bookman Old Style" w:hAnsi="Bookman Old Style" w:cs="Bookman Old Style"/>
          <w:color w:val="000000"/>
          <w:lang w:eastAsia="it-IT"/>
        </w:rPr>
        <w:t xml:space="preserve"> si applicano, con le successive proroghe, anche alla fornitura di servizi di teleriscaldamento. Con provvedimento del Direttore dell’Agenzia delle Entrate, sentita l’ARERA, da emanarsi entro il 28 febbraio 2023, sono determinate le modalità di attuazione del presente comma, tenendo conto della necessità di considerare, nei limiti delle risorse finanziarie disponibili, forme di ristoro della maggior misura dell’IVA applicata nel corso del 2022. Agli oneri di cui al presente comma, stimati per il biennio 2022-23 in 80 milioni di euro, si provvede mediante riduzione di pari importo del fondo di cui al comma 3 dell’articolo 152.” </w:t>
      </w:r>
    </w:p>
    <w:p w14:paraId="78CF59CF" w14:textId="77777777" w:rsidR="00700D18" w:rsidRPr="004A656F" w:rsidRDefault="00700D18" w:rsidP="00EA4113">
      <w:pPr>
        <w:spacing w:after="80"/>
        <w:jc w:val="center"/>
        <w:rPr>
          <w:rFonts w:ascii="Bookman Old Style" w:hAnsi="Bookman Old Style" w:cs="Bookman Old Style"/>
          <w:b/>
          <w:bCs/>
          <w:color w:val="000000"/>
          <w:lang w:eastAsia="it-IT"/>
        </w:rPr>
      </w:pPr>
      <w:r w:rsidRPr="004A656F">
        <w:rPr>
          <w:rFonts w:ascii="Bookman Old Style" w:hAnsi="Bookman Old Style" w:cs="Bookman Old Style"/>
          <w:b/>
          <w:bCs/>
          <w:color w:val="000000"/>
          <w:lang w:eastAsia="it-IT"/>
        </w:rPr>
        <w:t>Motivazione</w:t>
      </w:r>
    </w:p>
    <w:p w14:paraId="45B544F9" w14:textId="77777777" w:rsidR="00700D18" w:rsidRPr="004A656F" w:rsidRDefault="00700D18" w:rsidP="00EA4113">
      <w:pPr>
        <w:spacing w:after="80"/>
        <w:jc w:val="both"/>
        <w:rPr>
          <w:color w:val="000000"/>
          <w:lang w:eastAsia="it-IT"/>
        </w:rPr>
      </w:pPr>
      <w:r w:rsidRPr="004A656F">
        <w:rPr>
          <w:rFonts w:ascii="Bookman Old Style" w:hAnsi="Bookman Old Style" w:cs="Bookman Old Style"/>
          <w:i/>
          <w:iCs/>
          <w:color w:val="000000"/>
          <w:lang w:eastAsia="it-IT"/>
        </w:rPr>
        <w:t xml:space="preserve">Come dettagliatamente rilevato da una recente indagine dell’ARERA, che ha dato luogo a segnalazione al Parlamento e al Governo, della stessa </w:t>
      </w:r>
      <w:r w:rsidRPr="004A656F">
        <w:rPr>
          <w:rFonts w:ascii="Bookman Old Style" w:hAnsi="Bookman Old Style" w:cs="Bookman Old Style"/>
          <w:i/>
          <w:iCs/>
          <w:lang w:eastAsia="it-IT"/>
        </w:rPr>
        <w:t>A</w:t>
      </w:r>
      <w:r w:rsidRPr="004A656F">
        <w:rPr>
          <w:rFonts w:ascii="Bookman Old Style" w:hAnsi="Bookman Old Style" w:cs="Bookman Old Style"/>
          <w:i/>
          <w:iCs/>
          <w:color w:val="000000"/>
          <w:lang w:eastAsia="it-IT"/>
        </w:rPr>
        <w:t>utorità (doc. ARERA n. 568/2022/I/TLR), l’attuale fase di tensione nei mercati energetici ha comportato l’insorgenza di significative rendite inframarginali (in modo del tutto analogo a quanto accaduto nei settori dell’energia elettrica e del gas naturale) anche con riferimento ai servizi di teleriscaldamento, con un incremento significativo dei prezzi del servizio, che presenta le medesime caratteristiche di essenzialità della fornitura di gas naturale. </w:t>
      </w:r>
    </w:p>
    <w:p w14:paraId="5623D827" w14:textId="77777777" w:rsidR="00700D18" w:rsidRPr="004A656F" w:rsidRDefault="00700D18" w:rsidP="00EA4113">
      <w:pPr>
        <w:spacing w:after="80"/>
        <w:jc w:val="both"/>
        <w:rPr>
          <w:rFonts w:ascii="Bookman Old Style" w:hAnsi="Bookman Old Style" w:cs="Bookman Old Style"/>
          <w:i/>
          <w:iCs/>
          <w:color w:val="000000"/>
          <w:lang w:eastAsia="it-IT"/>
        </w:rPr>
      </w:pPr>
      <w:r w:rsidRPr="004A656F">
        <w:rPr>
          <w:rFonts w:ascii="Bookman Old Style" w:hAnsi="Bookman Old Style" w:cs="Bookman Old Style"/>
          <w:i/>
          <w:iCs/>
          <w:color w:val="000000"/>
          <w:lang w:eastAsia="it-IT"/>
        </w:rPr>
        <w:t>La norma proposta permette di applicare anche al teleriscaldamento una delle principali misure di mitigazione delle conseguenze dell’aumento dei prezzi, disponendo la riduzione dell’IVA al 5%. La proposta risponde a criteri di equità e appare economicamente sostenibile, considerando che, secondo i dati forniti da ARERA, il teleriscaldamento rappresenta solo il 3% del mercato della climatizzazione.</w:t>
      </w:r>
    </w:p>
    <w:p w14:paraId="382825E3" w14:textId="77777777" w:rsidR="00700D18" w:rsidRPr="004A656F" w:rsidRDefault="00700D18" w:rsidP="00EA4113">
      <w:pPr>
        <w:spacing w:after="80"/>
        <w:jc w:val="both"/>
        <w:rPr>
          <w:rFonts w:ascii="Bookman Old Style" w:hAnsi="Bookman Old Style" w:cs="Bookman Old Style"/>
          <w:i/>
          <w:iCs/>
          <w:color w:val="000000"/>
          <w:lang w:eastAsia="it-IT"/>
        </w:rPr>
      </w:pPr>
      <w:r w:rsidRPr="004A656F">
        <w:rPr>
          <w:rFonts w:ascii="Bookman Old Style" w:hAnsi="Bookman Old Style" w:cs="Bookman Old Style"/>
          <w:i/>
          <w:iCs/>
          <w:color w:val="000000"/>
          <w:lang w:eastAsia="it-IT"/>
        </w:rPr>
        <w:t>La valutazione del costo dell’estensione proposta (80 mln. di euro per il recupero dei maggiori aggravi 2022 e per l’abbattimento dell’aliquota nel primo trimestre 2023) derivano da stime informali effettuate con il supporto dell’Associazione Italiana per il Teleriscaldamento (AIRU), considerando l’indicizzazione prevalente del costo del servizio al prezzo del gas naturale (83% dei casi, come riportato dalla del. ARERA n. 547/2022) e il previsto aumento per il primo trimestre 2023, stimata in circa 51 mln. per il solo primo trimestre 2023.</w:t>
      </w:r>
    </w:p>
    <w:p w14:paraId="1CEE0B1D" w14:textId="77777777" w:rsidR="00700D18" w:rsidRPr="00654988" w:rsidRDefault="00700D18" w:rsidP="00EA4113">
      <w:pPr>
        <w:spacing w:after="80"/>
      </w:pPr>
    </w:p>
    <w:p w14:paraId="1C251BBD" w14:textId="70AA6380" w:rsidR="00654988" w:rsidRPr="00261F6F" w:rsidRDefault="009D7C82" w:rsidP="00C605AD">
      <w:pPr>
        <w:pStyle w:val="Titolo3"/>
        <w:numPr>
          <w:ilvl w:val="0"/>
          <w:numId w:val="4"/>
        </w:numPr>
        <w:spacing w:before="0" w:after="80"/>
        <w:ind w:left="0" w:firstLine="0"/>
        <w:rPr>
          <w:rFonts w:ascii="Bookman Old Style" w:hAnsi="Bookman Old Style" w:cs="Bookman Old Style"/>
          <w:b/>
          <w:bCs/>
          <w:color w:val="2F5496"/>
          <w:sz w:val="22"/>
          <w:szCs w:val="22"/>
          <w:lang w:eastAsia="it-IT"/>
        </w:rPr>
      </w:pPr>
      <w:bookmarkStart w:id="22" w:name="_Toc121214262"/>
      <w:r w:rsidRPr="00C605AD">
        <w:rPr>
          <w:rFonts w:ascii="Bookman Old Style" w:hAnsi="Bookman Old Style"/>
          <w:b/>
          <w:bCs/>
          <w:color w:val="2F5496" w:themeColor="accent1" w:themeShade="BF"/>
          <w:sz w:val="22"/>
          <w:szCs w:val="22"/>
        </w:rPr>
        <w:t>Estensione</w:t>
      </w:r>
      <w:r w:rsidRPr="00261F6F">
        <w:rPr>
          <w:rFonts w:ascii="Bookman Old Style" w:hAnsi="Bookman Old Style" w:cs="Bookman Old Style"/>
          <w:b/>
          <w:bCs/>
          <w:color w:val="2F5496"/>
          <w:sz w:val="22"/>
          <w:szCs w:val="22"/>
          <w:lang w:eastAsia="it-IT"/>
        </w:rPr>
        <w:t xml:space="preserve"> bonus sociali a fronte di maggiori costi del teleriscaldamento (art.5)</w:t>
      </w:r>
      <w:r w:rsidR="00261F6F">
        <w:rPr>
          <w:rFonts w:ascii="Bookman Old Style" w:hAnsi="Bookman Old Style" w:cs="Bookman Old Style"/>
          <w:b/>
          <w:bCs/>
          <w:color w:val="2F5496"/>
          <w:sz w:val="22"/>
          <w:szCs w:val="22"/>
          <w:lang w:eastAsia="it-IT"/>
        </w:rPr>
        <w:t>**</w:t>
      </w:r>
      <w:bookmarkEnd w:id="22"/>
    </w:p>
    <w:p w14:paraId="5E388AF9" w14:textId="77777777" w:rsidR="00786937" w:rsidRPr="00D67FFA" w:rsidRDefault="00786937" w:rsidP="00D67FFA">
      <w:pPr>
        <w:spacing w:after="80"/>
        <w:rPr>
          <w:rFonts w:ascii="Bookman Old Style" w:hAnsi="Bookman Old Style"/>
          <w:i/>
          <w:iCs/>
          <w:lang w:eastAsia="it-IT"/>
        </w:rPr>
      </w:pPr>
      <w:r w:rsidRPr="00D67FFA">
        <w:rPr>
          <w:rFonts w:ascii="Bookman Old Style" w:hAnsi="Bookman Old Style"/>
          <w:i/>
          <w:iCs/>
          <w:lang w:eastAsia="it-IT"/>
        </w:rPr>
        <w:t>Dopo l’articolo 5, inserire il seguente:</w:t>
      </w:r>
    </w:p>
    <w:p w14:paraId="3A38659F" w14:textId="77777777" w:rsidR="00786937" w:rsidRPr="00D67FFA" w:rsidRDefault="00786937" w:rsidP="00D67FFA">
      <w:pPr>
        <w:spacing w:after="80"/>
        <w:jc w:val="center"/>
        <w:rPr>
          <w:rFonts w:ascii="Bookman Old Style" w:hAnsi="Bookman Old Style"/>
          <w:i/>
          <w:iCs/>
          <w:lang w:eastAsia="it-IT"/>
        </w:rPr>
      </w:pPr>
      <w:r w:rsidRPr="00D67FFA">
        <w:rPr>
          <w:rFonts w:ascii="Bookman Old Style" w:hAnsi="Bookman Old Style"/>
          <w:i/>
          <w:iCs/>
          <w:lang w:eastAsia="it-IT"/>
        </w:rPr>
        <w:t>“Art. 5-bis (Estensione riduzione IVA al settore del teleriscaldamento)</w:t>
      </w:r>
    </w:p>
    <w:p w14:paraId="209F6592" w14:textId="69AB14CC" w:rsidR="00786937" w:rsidRPr="00786937" w:rsidRDefault="00786937" w:rsidP="00D67FFA">
      <w:pPr>
        <w:pStyle w:val="Corpotesto"/>
        <w:widowControl/>
        <w:autoSpaceDE/>
        <w:autoSpaceDN/>
        <w:spacing w:after="80" w:line="259" w:lineRule="auto"/>
        <w:jc w:val="both"/>
        <w:rPr>
          <w:rFonts w:ascii="Bookman Old Style" w:hAnsi="Bookman Old Style"/>
          <w:sz w:val="22"/>
          <w:szCs w:val="22"/>
        </w:rPr>
      </w:pPr>
      <w:r w:rsidRPr="00786937">
        <w:rPr>
          <w:rFonts w:ascii="Bookman Old Style" w:hAnsi="Bookman Old Style"/>
          <w:sz w:val="22"/>
          <w:szCs w:val="22"/>
        </w:rPr>
        <w:t>1. Il bonus sociale di cui all’articolo 6 del decreto legge 21 marzo 2022, n. 21, convertito con modificazioni dalla legge 20 maggio 2022, n. 51, si applica, con le successive proroghe, anche agli utenti dei servizi di teleriscaldamento. L’ARERA determina con proprio provvedimento, da emanarsi entro il 28 febbraio 2023, le modalità di attuazione del presente comma, tenendo conto della necessità di considerare, nei limiti delle risorse finanziarie disponibili, i maggiori aggravi subiti dagli utenti in questione nel corso del 2022. Agli oneri di cui al presente comma, stimati per il 2022 e il primo trimestre 2023 in 80 milioni di euro, si provvede mediante riduzione di pari importo del fondo di cui al comma 3 dell’articolo 152.”</w:t>
      </w:r>
    </w:p>
    <w:p w14:paraId="1E085F98" w14:textId="77777777" w:rsidR="00786937" w:rsidRPr="00786937" w:rsidRDefault="00786937" w:rsidP="00786937">
      <w:pPr>
        <w:spacing w:after="80"/>
        <w:jc w:val="center"/>
        <w:rPr>
          <w:rFonts w:ascii="Bookman Old Style" w:hAnsi="Bookman Old Style"/>
          <w:color w:val="000000"/>
          <w:lang w:eastAsia="it-IT"/>
        </w:rPr>
      </w:pPr>
      <w:r w:rsidRPr="00786937">
        <w:rPr>
          <w:rFonts w:ascii="Bookman Old Style" w:hAnsi="Bookman Old Style" w:cs="Bookman Old Style"/>
          <w:b/>
          <w:bCs/>
          <w:color w:val="000000"/>
          <w:lang w:eastAsia="it-IT"/>
        </w:rPr>
        <w:t>Motivazione</w:t>
      </w:r>
    </w:p>
    <w:p w14:paraId="4247FD9F" w14:textId="77777777" w:rsidR="00786937" w:rsidRPr="00786937" w:rsidRDefault="00786937" w:rsidP="00EA4113">
      <w:pPr>
        <w:spacing w:after="80"/>
        <w:jc w:val="both"/>
        <w:rPr>
          <w:rFonts w:ascii="Bookman Old Style" w:hAnsi="Bookman Old Style"/>
          <w:color w:val="000000"/>
          <w:lang w:eastAsia="it-IT"/>
        </w:rPr>
      </w:pPr>
      <w:r w:rsidRPr="00786937">
        <w:rPr>
          <w:rFonts w:ascii="Bookman Old Style" w:hAnsi="Bookman Old Style" w:cs="Bookman Old Style"/>
          <w:i/>
          <w:iCs/>
          <w:color w:val="000000"/>
          <w:lang w:eastAsia="it-IT"/>
        </w:rPr>
        <w:t xml:space="preserve">Come dettagliatamente rilevato da una recente indagine dell’ARERA, che ha dato luogo a segnalazione al Parlamento e al Governo, della stessa </w:t>
      </w:r>
      <w:r w:rsidRPr="00786937">
        <w:rPr>
          <w:rFonts w:ascii="Bookman Old Style" w:hAnsi="Bookman Old Style" w:cs="Bookman Old Style"/>
          <w:i/>
          <w:iCs/>
          <w:lang w:eastAsia="it-IT"/>
        </w:rPr>
        <w:t>A</w:t>
      </w:r>
      <w:r w:rsidRPr="00786937">
        <w:rPr>
          <w:rFonts w:ascii="Bookman Old Style" w:hAnsi="Bookman Old Style" w:cs="Bookman Old Style"/>
          <w:i/>
          <w:iCs/>
          <w:color w:val="000000"/>
          <w:lang w:eastAsia="it-IT"/>
        </w:rPr>
        <w:t>utorità (doc. ARERA n. 568/2022/I/TLR), l’attuale fase di tensione nei mercati energetici ha comportato l’insorgenza di significative rendite inframarginali (in modo del tutto analogo a quanto accaduto nei settori dell’energia elettrica e del gas naturale) anche con riferimento ai servizi di teleriscaldamento, con un incremento significativo dei prezzi del servizio, che presenta le medesime caratteristiche di essenzialità della fornitura di gas naturale. </w:t>
      </w:r>
    </w:p>
    <w:p w14:paraId="5ED98777" w14:textId="77777777" w:rsidR="00786937" w:rsidRPr="00786937" w:rsidRDefault="00786937" w:rsidP="00EA4113">
      <w:pPr>
        <w:spacing w:after="80"/>
        <w:jc w:val="both"/>
        <w:rPr>
          <w:rFonts w:ascii="Bookman Old Style" w:hAnsi="Bookman Old Style" w:cs="Bookman Old Style"/>
          <w:i/>
          <w:iCs/>
          <w:color w:val="000000"/>
          <w:lang w:eastAsia="it-IT"/>
        </w:rPr>
      </w:pPr>
      <w:r w:rsidRPr="00786937">
        <w:rPr>
          <w:rFonts w:ascii="Bookman Old Style" w:hAnsi="Bookman Old Style" w:cs="Bookman Old Style"/>
          <w:i/>
          <w:iCs/>
          <w:color w:val="000000"/>
          <w:lang w:eastAsia="it-IT"/>
        </w:rPr>
        <w:t>La norma proposta permette di applicare, anche con valenza retroattiva, il bonus sociale anche agli utenti del teleriscaldamento. La proposta risponde a criteri di equità e appare economicamente sostenibile, considerando che, secondo i dati forniti da ARERA, il teleriscaldamento rappresenta solo il 3% del mercato della climatizzazione.</w:t>
      </w:r>
    </w:p>
    <w:p w14:paraId="5A2EBDBD" w14:textId="77777777" w:rsidR="00786937" w:rsidRPr="00786937" w:rsidRDefault="00786937" w:rsidP="00EA4113">
      <w:pPr>
        <w:spacing w:after="80"/>
        <w:jc w:val="both"/>
        <w:rPr>
          <w:rFonts w:ascii="Bookman Old Style" w:hAnsi="Bookman Old Style" w:cs="Bookman Old Style"/>
          <w:i/>
          <w:iCs/>
          <w:color w:val="000000"/>
          <w:lang w:eastAsia="it-IT"/>
        </w:rPr>
      </w:pPr>
      <w:r w:rsidRPr="00786937">
        <w:rPr>
          <w:rFonts w:ascii="Bookman Old Style" w:hAnsi="Bookman Old Style" w:cs="Bookman Old Style"/>
          <w:i/>
          <w:iCs/>
          <w:color w:val="000000"/>
          <w:lang w:eastAsia="it-IT"/>
        </w:rPr>
        <w:t>Le valutazioni del costo della misura proposta (80 mln. di euro) derivano da stime informali effettuate con il supporto delle principali Società erogatrici del servizio, basate sulle fatturazioni relative alla stagione termica 2021-22 (circa 52 milioni di euro).</w:t>
      </w:r>
    </w:p>
    <w:p w14:paraId="6F566273" w14:textId="660433FC" w:rsidR="00C64DDF" w:rsidRDefault="00C64DDF" w:rsidP="007B094F">
      <w:pPr>
        <w:spacing w:after="80"/>
        <w:jc w:val="both"/>
        <w:rPr>
          <w:rFonts w:ascii="Bookman Old Style" w:hAnsi="Bookman Old Style"/>
          <w:i/>
          <w:iCs/>
        </w:rPr>
      </w:pPr>
    </w:p>
    <w:p w14:paraId="027176F5" w14:textId="6A3B1F8B" w:rsidR="00143D0B" w:rsidRPr="009E1B8B" w:rsidRDefault="00143D0B"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23" w:name="_Toc121214263"/>
      <w:r w:rsidRPr="009E1B8B">
        <w:rPr>
          <w:rFonts w:ascii="Bookman Old Style" w:hAnsi="Bookman Old Style"/>
          <w:b/>
          <w:bCs/>
          <w:color w:val="2F5496" w:themeColor="accent1" w:themeShade="BF"/>
          <w:sz w:val="22"/>
          <w:szCs w:val="22"/>
        </w:rPr>
        <w:t>Disposizioni in materia di autoconsumo e autoproduzione di energia rinnovabile sui territori **</w:t>
      </w:r>
      <w:bookmarkEnd w:id="23"/>
    </w:p>
    <w:p w14:paraId="55ED4B2D" w14:textId="77777777" w:rsidR="00143D0B" w:rsidRPr="004B276E" w:rsidRDefault="00143D0B" w:rsidP="00EA4113">
      <w:pPr>
        <w:spacing w:after="80"/>
        <w:jc w:val="both"/>
        <w:rPr>
          <w:rFonts w:ascii="Bookman Old Style" w:hAnsi="Bookman Old Style"/>
        </w:rPr>
      </w:pPr>
      <w:r w:rsidRPr="004B276E">
        <w:rPr>
          <w:rFonts w:ascii="Bookman Old Style" w:hAnsi="Bookman Old Style"/>
        </w:rPr>
        <w:t>Aggiungere il seguente articolo 8 bis:</w:t>
      </w:r>
    </w:p>
    <w:p w14:paraId="20C44D39" w14:textId="77777777" w:rsidR="00550AD1" w:rsidRDefault="00550AD1" w:rsidP="00EA4113">
      <w:pPr>
        <w:spacing w:after="80"/>
        <w:jc w:val="both"/>
        <w:rPr>
          <w:rFonts w:ascii="Bookman Old Style" w:hAnsi="Bookman Old Style"/>
        </w:rPr>
      </w:pPr>
      <w:r>
        <w:rPr>
          <w:rFonts w:ascii="Bookman Old Style" w:hAnsi="Bookman Old Style"/>
        </w:rPr>
        <w:t xml:space="preserve">1. </w:t>
      </w:r>
      <w:r w:rsidR="00143D0B" w:rsidRPr="00550AD1">
        <w:rPr>
          <w:rFonts w:ascii="Bookman Old Style" w:hAnsi="Bookman Old Style"/>
        </w:rPr>
        <w:t xml:space="preserve">All’art. 33 del decreto legislativo 8 novembre 2021, n. 199, aggiungere il seguente comma 3: “Al fine di ottimizzare le configurazioni realizzate in attuazione del presente Capo, i gestori di servizi energetici e di gas comunicano annualmente ai Comuni i dati relativi ai consumi di energia e di gas di tutte le utenze allacciate relative al territorio di competenza di ciascuna amministrazione comunale”. </w:t>
      </w:r>
    </w:p>
    <w:p w14:paraId="1251B271" w14:textId="77777777" w:rsidR="00EA4113" w:rsidRDefault="00550AD1" w:rsidP="00EA4113">
      <w:pPr>
        <w:spacing w:after="80"/>
        <w:jc w:val="both"/>
        <w:rPr>
          <w:rFonts w:ascii="Bookman Old Style" w:hAnsi="Bookman Old Style"/>
        </w:rPr>
      </w:pPr>
      <w:r>
        <w:rPr>
          <w:rFonts w:ascii="Bookman Old Style" w:hAnsi="Bookman Old Style"/>
        </w:rPr>
        <w:t xml:space="preserve">2. </w:t>
      </w:r>
      <w:r w:rsidR="00143D0B" w:rsidRPr="00550AD1">
        <w:rPr>
          <w:rFonts w:ascii="Bookman Old Style" w:hAnsi="Bookman Old Style"/>
        </w:rPr>
        <w:t xml:space="preserve">Ai fini di rendere possibile un diffuso sviluppo di comunità energetiche rinnovabili sono apportate le seguenti modifiche al Piano Nazionale di Ripresa e resilienza: </w:t>
      </w:r>
    </w:p>
    <w:p w14:paraId="5FFE7D99" w14:textId="5A5BE449" w:rsidR="00143D0B" w:rsidRPr="00EA4113" w:rsidRDefault="00143D0B" w:rsidP="00EA4113">
      <w:pPr>
        <w:spacing w:after="80"/>
        <w:jc w:val="both"/>
        <w:rPr>
          <w:rFonts w:ascii="Bookman Old Style" w:hAnsi="Bookman Old Style"/>
        </w:rPr>
      </w:pPr>
      <w:r w:rsidRPr="00EA4113">
        <w:rPr>
          <w:rFonts w:ascii="Bookman Old Style" w:hAnsi="Bookman Old Style"/>
        </w:rPr>
        <w:t>“Possono accedere al credito per la “Promozione rinnovabili per le comunità energetiche e l’autoconsumo” di cui alla missione 2, componente 2, investimento 1.2, i progetti realizzati in tutti i Comuni italiani. Una quota parte delle risorse a disposizione, pari al 30%, è destinata ai Comuni con meno di 5.000 abitanti”.</w:t>
      </w:r>
    </w:p>
    <w:p w14:paraId="4CC4D9A1" w14:textId="77777777" w:rsidR="00143D0B" w:rsidRPr="004B276E" w:rsidRDefault="00143D0B" w:rsidP="00EA4113">
      <w:pPr>
        <w:widowControl w:val="0"/>
        <w:suppressAutoHyphens/>
        <w:spacing w:after="80"/>
        <w:jc w:val="center"/>
        <w:rPr>
          <w:rFonts w:ascii="Bookman Old Style" w:eastAsia="SimSun" w:hAnsi="Bookman Old Style" w:cs="Lucida Sans"/>
          <w:b/>
          <w:bCs/>
          <w:kern w:val="1"/>
          <w:lang w:eastAsia="hi-IN" w:bidi="hi-IN"/>
        </w:rPr>
      </w:pPr>
      <w:r w:rsidRPr="004B276E">
        <w:rPr>
          <w:rFonts w:ascii="Bookman Old Style" w:eastAsia="SimSun" w:hAnsi="Bookman Old Style" w:cs="Lucida Sans"/>
          <w:b/>
          <w:bCs/>
          <w:kern w:val="1"/>
          <w:lang w:eastAsia="hi-IN" w:bidi="hi-IN"/>
        </w:rPr>
        <w:t>Motivazione</w:t>
      </w:r>
    </w:p>
    <w:p w14:paraId="36DDC1FE" w14:textId="77777777" w:rsidR="00143D0B" w:rsidRPr="00EB0D2E" w:rsidRDefault="00143D0B" w:rsidP="00EA4113">
      <w:pPr>
        <w:spacing w:after="80"/>
        <w:jc w:val="both"/>
        <w:rPr>
          <w:rFonts w:ascii="Bookman Old Style" w:hAnsi="Bookman Old Style"/>
          <w:i/>
          <w:iCs/>
        </w:rPr>
      </w:pPr>
      <w:r w:rsidRPr="00EB0D2E">
        <w:rPr>
          <w:rFonts w:ascii="Bookman Old Style" w:hAnsi="Bookman Old Style"/>
          <w:i/>
          <w:iCs/>
        </w:rPr>
        <w:t xml:space="preserve">Al fine di pianificare, incentivare e attuare le migliori scelte energetiche per i propri territori, sia verso l’autoconsumo che verso la creazione di comunità energetiche rinnovabili e/o locali, si ritiene fondamentale che ciascun Comune conosca i dati di consumo energetico e di gas del proprio territorio. </w:t>
      </w:r>
    </w:p>
    <w:p w14:paraId="7467F234" w14:textId="509CBAD2" w:rsidR="00143D0B" w:rsidRPr="00EB0D2E" w:rsidRDefault="00143D0B" w:rsidP="00EA4113">
      <w:pPr>
        <w:spacing w:after="80"/>
        <w:jc w:val="both"/>
        <w:rPr>
          <w:rFonts w:ascii="Bookman Old Style" w:hAnsi="Bookman Old Style"/>
          <w:i/>
          <w:iCs/>
        </w:rPr>
      </w:pPr>
      <w:r w:rsidRPr="00EB0D2E">
        <w:rPr>
          <w:rFonts w:ascii="Bookman Old Style" w:hAnsi="Bookman Old Style"/>
          <w:i/>
          <w:iCs/>
        </w:rPr>
        <w:t xml:space="preserve">Il Piano Nazionale di Ripresa e Resilienza prevede la creazione di un fondo per i prestiti necessari alla realizzazione di nuova potenza rinnovabile attraverso le Comunità energetiche e l’autoconsumo, a cui sono destinati 2,2 miliardi di </w:t>
      </w:r>
      <w:r w:rsidR="000E3E44" w:rsidRPr="00EB0D2E">
        <w:rPr>
          <w:rFonts w:ascii="Bookman Old Style" w:hAnsi="Bookman Old Style"/>
          <w:i/>
          <w:iCs/>
        </w:rPr>
        <w:t>euro</w:t>
      </w:r>
      <w:r w:rsidRPr="00EB0D2E">
        <w:rPr>
          <w:rFonts w:ascii="Bookman Old Style" w:hAnsi="Bookman Old Style"/>
          <w:i/>
          <w:iCs/>
        </w:rPr>
        <w:t xml:space="preserve"> per i Comuni con popolazione inferiore ai 5000 abitanti. Lo strumento della CER non è destinato solo ai Comuni di piccola dimensione ma costituisce una strada per l’autoconsumo di comunità in qualsiasi contesto territoriale e urbano. Inoltre, un plafond così consistente di risorse per i comuni piccoli spesso non strutturati sul tema energetico rischia di vedere un mancato utilizzo delle risorse, nonché di incrementare un fenomeno speculativo e distorsivo già in essere nei territori tutti e in particolare in quelli di dimensione ridotta. </w:t>
      </w:r>
    </w:p>
    <w:p w14:paraId="7B51CF01" w14:textId="77777777" w:rsidR="004A321F" w:rsidRDefault="004A321F">
      <w:pPr>
        <w:rPr>
          <w:rFonts w:ascii="Bookman Old Style" w:eastAsiaTheme="majorEastAsia" w:hAnsi="Bookman Old Style" w:cstheme="majorBidi"/>
          <w:b/>
          <w:bCs/>
          <w:color w:val="1F3763" w:themeColor="accent1" w:themeShade="7F"/>
          <w:sz w:val="24"/>
          <w:szCs w:val="24"/>
        </w:rPr>
      </w:pPr>
      <w:r>
        <w:rPr>
          <w:rFonts w:ascii="Bookman Old Style" w:hAnsi="Bookman Old Style"/>
          <w:b/>
          <w:bCs/>
        </w:rPr>
        <w:br w:type="page"/>
      </w:r>
    </w:p>
    <w:p w14:paraId="3A887523" w14:textId="005FEE9E" w:rsidR="00EC11E4" w:rsidRDefault="00EC11E4" w:rsidP="00EC11E4">
      <w:pPr>
        <w:pStyle w:val="Titolo3"/>
        <w:rPr>
          <w:rFonts w:ascii="Bookman Old Style" w:hAnsi="Bookman Old Style"/>
          <w:b/>
          <w:bCs/>
        </w:rPr>
      </w:pPr>
      <w:bookmarkStart w:id="24" w:name="_Toc121214264"/>
      <w:r>
        <w:rPr>
          <w:rFonts w:ascii="Bookman Old Style" w:hAnsi="Bookman Old Style"/>
          <w:b/>
          <w:bCs/>
        </w:rPr>
        <w:t>ALTRE NORME</w:t>
      </w:r>
      <w:bookmarkEnd w:id="24"/>
    </w:p>
    <w:p w14:paraId="003D8B0B" w14:textId="73D976DA" w:rsidR="00D02BCA" w:rsidRDefault="00D02BCA" w:rsidP="00D02BCA">
      <w:pPr>
        <w:pStyle w:val="Titolo2"/>
        <w:rPr>
          <w:rFonts w:ascii="Bookman Old Style" w:hAnsi="Bookman Old Style"/>
          <w:b/>
          <w:bCs/>
          <w:sz w:val="22"/>
          <w:szCs w:val="22"/>
        </w:rPr>
      </w:pPr>
    </w:p>
    <w:p w14:paraId="78B1796F" w14:textId="03D1542A" w:rsidR="00DE2A95" w:rsidRPr="00DE2A95" w:rsidRDefault="00DE2A95" w:rsidP="00DE2A95">
      <w:pPr>
        <w:pStyle w:val="Titolo3"/>
        <w:rPr>
          <w:rFonts w:ascii="Bookman Old Style" w:hAnsi="Bookman Old Style"/>
          <w:b/>
          <w:bCs/>
          <w:sz w:val="22"/>
          <w:szCs w:val="22"/>
        </w:rPr>
      </w:pPr>
      <w:bookmarkStart w:id="25" w:name="_Toc121214265"/>
      <w:r w:rsidRPr="00DE2A95">
        <w:rPr>
          <w:rFonts w:ascii="Bookman Old Style" w:hAnsi="Bookman Old Style"/>
          <w:b/>
          <w:bCs/>
          <w:sz w:val="22"/>
          <w:szCs w:val="22"/>
        </w:rPr>
        <w:t>FINANZA LOCALE</w:t>
      </w:r>
      <w:bookmarkEnd w:id="25"/>
    </w:p>
    <w:p w14:paraId="684958F6" w14:textId="77777777" w:rsidR="00EC11E4" w:rsidRPr="00A20489" w:rsidRDefault="00EC11E4" w:rsidP="00263A5E">
      <w:pPr>
        <w:spacing w:after="80"/>
        <w:rPr>
          <w:rFonts w:ascii="Bookman Old Style" w:hAnsi="Bookman Old Style"/>
        </w:rPr>
      </w:pPr>
    </w:p>
    <w:p w14:paraId="2A58977E" w14:textId="5BB2DDE5" w:rsidR="00802369" w:rsidRPr="00F56158" w:rsidRDefault="00802369"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26" w:name="_Toc121214266"/>
      <w:r w:rsidRPr="00F56158">
        <w:rPr>
          <w:rFonts w:ascii="Bookman Old Style" w:hAnsi="Bookman Old Style"/>
          <w:b/>
          <w:bCs/>
          <w:color w:val="2F5496" w:themeColor="accent1" w:themeShade="BF"/>
          <w:sz w:val="22"/>
          <w:szCs w:val="22"/>
        </w:rPr>
        <w:t>Fondo per le periferie inclusive</w:t>
      </w:r>
      <w:r w:rsidR="000C2F4A" w:rsidRPr="00F56158">
        <w:rPr>
          <w:rFonts w:ascii="Bookman Old Style" w:hAnsi="Bookman Old Style"/>
          <w:b/>
          <w:bCs/>
          <w:color w:val="2F5496" w:themeColor="accent1" w:themeShade="BF"/>
          <w:sz w:val="22"/>
          <w:szCs w:val="22"/>
        </w:rPr>
        <w:t xml:space="preserve"> (Art. 67)</w:t>
      </w:r>
      <w:bookmarkEnd w:id="26"/>
    </w:p>
    <w:p w14:paraId="08B91B39" w14:textId="630864C4" w:rsidR="00802369" w:rsidRPr="00A20489" w:rsidRDefault="00802369" w:rsidP="00CE7A35">
      <w:pPr>
        <w:jc w:val="both"/>
        <w:rPr>
          <w:rFonts w:ascii="Bookman Old Style" w:hAnsi="Bookman Old Style" w:cs="Calibri"/>
          <w:i/>
          <w:iCs/>
          <w:color w:val="000000" w:themeColor="text1"/>
          <w:lang w:eastAsia="it-IT"/>
        </w:rPr>
      </w:pPr>
      <w:r w:rsidRPr="00A20489">
        <w:rPr>
          <w:rFonts w:ascii="Bookman Old Style" w:hAnsi="Bookman Old Style"/>
        </w:rPr>
        <w:t>All’art. 67</w:t>
      </w:r>
      <w:r w:rsidR="00C37D9F" w:rsidRPr="00A20489">
        <w:rPr>
          <w:rFonts w:ascii="Bookman Old Style" w:hAnsi="Bookman Old Style"/>
        </w:rPr>
        <w:t xml:space="preserve">, comma 2, sostituire le parole “ </w:t>
      </w:r>
      <w:r w:rsidR="00C37D9F" w:rsidRPr="00A20489">
        <w:rPr>
          <w:rFonts w:ascii="Bookman Old Style" w:hAnsi="Bookman Old Style" w:cs="Calibri"/>
          <w:i/>
          <w:iCs/>
          <w:color w:val="000000" w:themeColor="text1"/>
          <w:lang w:eastAsia="it-IT"/>
        </w:rPr>
        <w:t>Conferenza unificata di cui all'</w:t>
      </w:r>
      <w:hyperlink r:id="rId10" w:tgtFrame="_blank" w:tooltip="URL originale: https://urlsand.esvalabs.com/?u=https%3A%2F%2Fwww.normattiva.it%2Furi-res%2FN2Ls%3Furn%3Anir%3Astato%3Adecreto.legislativo%3A1997-08-28%3B281~art8&amp;e=dcce0189&amp;h=a470144d&amp;f=y&amp;p=n. Fare clic o toccare se si considera attendibile questo collega" w:history="1">
        <w:r w:rsidR="00C37D9F" w:rsidRPr="00A20489">
          <w:rPr>
            <w:rFonts w:ascii="Bookman Old Style" w:hAnsi="Bookman Old Style" w:cs="Calibri"/>
            <w:i/>
            <w:iCs/>
            <w:color w:val="000000" w:themeColor="text1"/>
            <w:lang w:eastAsia="it-IT"/>
          </w:rPr>
          <w:t>articolo 8 del decreto</w:t>
        </w:r>
      </w:hyperlink>
      <w:r w:rsidR="00C37D9F" w:rsidRPr="00A20489">
        <w:rPr>
          <w:rFonts w:ascii="Bookman Old Style" w:hAnsi="Bookman Old Style" w:cs="Calibri"/>
          <w:i/>
          <w:iCs/>
          <w:color w:val="000000" w:themeColor="text1"/>
          <w:lang w:eastAsia="it-IT"/>
        </w:rPr>
        <w:t> </w:t>
      </w:r>
      <w:hyperlink r:id="rId11" w:tgtFrame="_blank" w:tooltip="URL originale: https://urlsand.esvalabs.com/?u=https%3A%2F%2Fwww.normattiva.it%2Furi-res%2FN2Ls%3Furn%3Anir%3Astato%3Adecreto.legislativo%3A1997-08-28%3B281~art8&amp;e=dcce0189&amp;h=a470144d&amp;f=y&amp;p=n. Fare clic o toccare se si considera attendibile questo collega" w:history="1">
        <w:r w:rsidR="00C37D9F" w:rsidRPr="00A20489">
          <w:rPr>
            <w:rFonts w:ascii="Bookman Old Style" w:hAnsi="Bookman Old Style" w:cs="Calibri"/>
            <w:i/>
            <w:iCs/>
            <w:color w:val="000000" w:themeColor="text1"/>
            <w:lang w:eastAsia="it-IT"/>
          </w:rPr>
          <w:t>legislativo 28 agosto 1997, n. 281</w:t>
        </w:r>
      </w:hyperlink>
      <w:r w:rsidR="00C37D9F" w:rsidRPr="00A20489">
        <w:rPr>
          <w:rFonts w:ascii="Bookman Old Style" w:hAnsi="Bookman Old Style" w:cs="Calibri"/>
          <w:i/>
          <w:iCs/>
          <w:color w:val="000000" w:themeColor="text1"/>
          <w:lang w:eastAsia="it-IT"/>
        </w:rPr>
        <w:t>” con le seguenti parole “Conferenza Stato Città e autonomie locali”.</w:t>
      </w:r>
    </w:p>
    <w:p w14:paraId="1DB792D7" w14:textId="458DDD35" w:rsidR="00C37D9F" w:rsidRPr="00A20489" w:rsidRDefault="003E4F41" w:rsidP="00CE7A35">
      <w:pPr>
        <w:jc w:val="center"/>
        <w:rPr>
          <w:rFonts w:ascii="Bookman Old Style" w:hAnsi="Bookman Old Style"/>
          <w:b/>
          <w:bCs/>
        </w:rPr>
      </w:pPr>
      <w:r w:rsidRPr="00A20489">
        <w:rPr>
          <w:rFonts w:ascii="Bookman Old Style" w:hAnsi="Bookman Old Style"/>
          <w:b/>
          <w:bCs/>
        </w:rPr>
        <w:t>Motivazione</w:t>
      </w:r>
    </w:p>
    <w:p w14:paraId="6D68D3BC" w14:textId="0DECD045" w:rsidR="006051D2" w:rsidRPr="006051D2" w:rsidRDefault="001F0C86" w:rsidP="00CE7A35">
      <w:pPr>
        <w:jc w:val="both"/>
        <w:rPr>
          <w:rFonts w:ascii="Bookman Old Style" w:hAnsi="Bookman Old Style"/>
          <w:i/>
          <w:iCs/>
        </w:rPr>
      </w:pPr>
      <w:r>
        <w:rPr>
          <w:rFonts w:ascii="Bookman Old Style" w:hAnsi="Bookman Old Style"/>
          <w:i/>
          <w:iCs/>
        </w:rPr>
        <w:t>Essendo gli</w:t>
      </w:r>
      <w:r w:rsidR="006051D2" w:rsidRPr="006051D2">
        <w:rPr>
          <w:rFonts w:ascii="Bookman Old Style" w:hAnsi="Bookman Old Style"/>
          <w:i/>
          <w:iCs/>
        </w:rPr>
        <w:t xml:space="preserve"> enti </w:t>
      </w:r>
      <w:r w:rsidR="00D42C7C" w:rsidRPr="006051D2">
        <w:rPr>
          <w:rFonts w:ascii="Bookman Old Style" w:hAnsi="Bookman Old Style"/>
          <w:i/>
          <w:iCs/>
        </w:rPr>
        <w:t>beneficiari</w:t>
      </w:r>
      <w:r w:rsidR="006051D2" w:rsidRPr="006051D2">
        <w:rPr>
          <w:rFonts w:ascii="Bookman Old Style" w:hAnsi="Bookman Old Style"/>
          <w:i/>
          <w:iCs/>
        </w:rPr>
        <w:t xml:space="preserve"> solo </w:t>
      </w:r>
      <w:r>
        <w:rPr>
          <w:rFonts w:ascii="Bookman Old Style" w:hAnsi="Bookman Old Style"/>
          <w:i/>
          <w:iCs/>
        </w:rPr>
        <w:t xml:space="preserve">i </w:t>
      </w:r>
      <w:r w:rsidR="00CE7A35">
        <w:rPr>
          <w:rFonts w:ascii="Bookman Old Style" w:hAnsi="Bookman Old Style"/>
          <w:i/>
          <w:iCs/>
        </w:rPr>
        <w:t>C</w:t>
      </w:r>
      <w:r w:rsidR="006051D2" w:rsidRPr="006051D2">
        <w:rPr>
          <w:rFonts w:ascii="Bookman Old Style" w:hAnsi="Bookman Old Style"/>
          <w:i/>
          <w:iCs/>
        </w:rPr>
        <w:t>omuni</w:t>
      </w:r>
      <w:r w:rsidR="00CE7A35">
        <w:rPr>
          <w:rFonts w:ascii="Bookman Old Style" w:hAnsi="Bookman Old Style"/>
          <w:i/>
          <w:iCs/>
        </w:rPr>
        <w:t xml:space="preserve"> con popolazione superiore a 300 mila abitanti</w:t>
      </w:r>
      <w:r>
        <w:rPr>
          <w:rFonts w:ascii="Bookman Old Style" w:hAnsi="Bookman Old Style"/>
          <w:i/>
          <w:iCs/>
        </w:rPr>
        <w:t>,</w:t>
      </w:r>
      <w:r w:rsidR="006051D2" w:rsidRPr="006051D2">
        <w:rPr>
          <w:rFonts w:ascii="Bookman Old Style" w:hAnsi="Bookman Old Style"/>
          <w:i/>
          <w:iCs/>
        </w:rPr>
        <w:t xml:space="preserve"> si ritiene più corretto che la </w:t>
      </w:r>
      <w:r w:rsidR="008451E8">
        <w:rPr>
          <w:rFonts w:ascii="Bookman Old Style" w:hAnsi="Bookman Old Style"/>
          <w:i/>
          <w:iCs/>
        </w:rPr>
        <w:t xml:space="preserve">sede </w:t>
      </w:r>
      <w:r w:rsidR="006051D2" w:rsidRPr="006051D2">
        <w:rPr>
          <w:rFonts w:ascii="Bookman Old Style" w:hAnsi="Bookman Old Style"/>
          <w:i/>
          <w:iCs/>
        </w:rPr>
        <w:t xml:space="preserve">concertazione </w:t>
      </w:r>
      <w:r w:rsidR="000F1786">
        <w:rPr>
          <w:rFonts w:ascii="Bookman Old Style" w:hAnsi="Bookman Old Style"/>
          <w:i/>
          <w:iCs/>
        </w:rPr>
        <w:t xml:space="preserve">per la determinazione del riparto sia la </w:t>
      </w:r>
      <w:r w:rsidR="006051D2" w:rsidRPr="006051D2">
        <w:rPr>
          <w:rFonts w:ascii="Bookman Old Style" w:hAnsi="Bookman Old Style"/>
          <w:i/>
          <w:iCs/>
        </w:rPr>
        <w:t>Conferenza Stato Città e autonomie locali</w:t>
      </w:r>
      <w:r w:rsidR="000F1786">
        <w:rPr>
          <w:rFonts w:ascii="Bookman Old Style" w:hAnsi="Bookman Old Style"/>
          <w:i/>
          <w:iCs/>
        </w:rPr>
        <w:t xml:space="preserve"> e non la Conferenza unificata</w:t>
      </w:r>
      <w:r w:rsidR="00DD01BC">
        <w:rPr>
          <w:rFonts w:ascii="Bookman Old Style" w:hAnsi="Bookman Old Style"/>
          <w:i/>
          <w:iCs/>
        </w:rPr>
        <w:t>, come attualmente previsto.</w:t>
      </w:r>
    </w:p>
    <w:p w14:paraId="7823FCFC" w14:textId="77777777" w:rsidR="00802369" w:rsidRPr="00A20489" w:rsidRDefault="00802369" w:rsidP="006C6C19">
      <w:pPr>
        <w:rPr>
          <w:rFonts w:ascii="Bookman Old Style" w:hAnsi="Bookman Old Style"/>
        </w:rPr>
      </w:pPr>
    </w:p>
    <w:p w14:paraId="621834F9" w14:textId="02FB5540" w:rsidR="006C6C19" w:rsidRPr="00F56158" w:rsidRDefault="00835AB2"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27" w:name="_Toc121214267"/>
      <w:r w:rsidRPr="00F56158">
        <w:rPr>
          <w:rFonts w:ascii="Bookman Old Style" w:hAnsi="Bookman Old Style"/>
          <w:b/>
          <w:bCs/>
          <w:color w:val="2F5496" w:themeColor="accent1" w:themeShade="BF"/>
          <w:sz w:val="22"/>
          <w:szCs w:val="22"/>
        </w:rPr>
        <w:t>Misure per fronteggiare l’aumento del costo dei materiali per le opere pubbliche</w:t>
      </w:r>
      <w:r w:rsidR="000C2F4A" w:rsidRPr="00F56158">
        <w:rPr>
          <w:rFonts w:ascii="Bookman Old Style" w:hAnsi="Bookman Old Style"/>
          <w:b/>
          <w:bCs/>
          <w:color w:val="2F5496" w:themeColor="accent1" w:themeShade="BF"/>
          <w:sz w:val="22"/>
          <w:szCs w:val="22"/>
        </w:rPr>
        <w:t xml:space="preserve"> (Art. 68)</w:t>
      </w:r>
      <w:bookmarkEnd w:id="27"/>
    </w:p>
    <w:p w14:paraId="7F229C73" w14:textId="70604730" w:rsidR="00263A5E" w:rsidRPr="00A20489" w:rsidRDefault="00835AB2" w:rsidP="00BD3495">
      <w:pPr>
        <w:widowControl w:val="0"/>
        <w:suppressAutoHyphens/>
        <w:spacing w:after="80"/>
        <w:jc w:val="both"/>
        <w:rPr>
          <w:rFonts w:ascii="Bookman Old Style" w:eastAsia="SimSun" w:hAnsi="Bookman Old Style" w:cs="Lucida Sans"/>
          <w:kern w:val="1"/>
          <w:lang w:eastAsia="hi-IN" w:bidi="hi-IN"/>
        </w:rPr>
      </w:pPr>
      <w:r w:rsidRPr="00A20489">
        <w:rPr>
          <w:rFonts w:ascii="Bookman Old Style" w:eastAsia="SimSun" w:hAnsi="Bookman Old Style" w:cs="Lucida Sans"/>
          <w:i/>
          <w:iCs/>
          <w:kern w:val="1"/>
          <w:lang w:eastAsia="hi-IN" w:bidi="hi-IN"/>
        </w:rPr>
        <w:t>All’art. 68</w:t>
      </w:r>
      <w:r w:rsidR="00DA67C3" w:rsidRPr="00A20489">
        <w:rPr>
          <w:rFonts w:ascii="Bookman Old Style" w:eastAsia="SimSun" w:hAnsi="Bookman Old Style" w:cs="Lucida Sans"/>
          <w:i/>
          <w:iCs/>
          <w:kern w:val="1"/>
          <w:lang w:eastAsia="hi-IN" w:bidi="hi-IN"/>
        </w:rPr>
        <w:t>, comma 2, primo periodo sostituire le parole</w:t>
      </w:r>
      <w:r w:rsidR="00DA67C3" w:rsidRPr="00A20489">
        <w:rPr>
          <w:rFonts w:ascii="Bookman Old Style" w:eastAsia="SimSun" w:hAnsi="Bookman Old Style" w:cs="Lucida Sans"/>
          <w:kern w:val="1"/>
          <w:lang w:eastAsia="hi-IN" w:bidi="hi-IN"/>
        </w:rPr>
        <w:t xml:space="preserve"> </w:t>
      </w:r>
      <w:r w:rsidR="004E6C96" w:rsidRPr="00A20489">
        <w:rPr>
          <w:rFonts w:ascii="Bookman Old Style" w:eastAsia="SimSun" w:hAnsi="Bookman Old Style" w:cs="Lucida Sans"/>
          <w:kern w:val="1"/>
          <w:lang w:eastAsia="hi-IN" w:bidi="hi-IN"/>
        </w:rPr>
        <w:t>“10</w:t>
      </w:r>
      <w:r w:rsidR="00DA67C3" w:rsidRPr="00A20489">
        <w:rPr>
          <w:rFonts w:ascii="Bookman Old Style" w:eastAsia="SimSun" w:hAnsi="Bookman Old Style" w:cs="Lucida Sans"/>
          <w:kern w:val="1"/>
          <w:lang w:eastAsia="hi-IN" w:bidi="hi-IN"/>
        </w:rPr>
        <w:t xml:space="preserve"> per cento” </w:t>
      </w:r>
      <w:r w:rsidR="00DA67C3" w:rsidRPr="00A20489">
        <w:rPr>
          <w:rFonts w:ascii="Bookman Old Style" w:eastAsia="SimSun" w:hAnsi="Bookman Old Style" w:cs="Lucida Sans"/>
          <w:i/>
          <w:iCs/>
          <w:kern w:val="1"/>
          <w:lang w:eastAsia="hi-IN" w:bidi="hi-IN"/>
        </w:rPr>
        <w:t>con le seguenti parole</w:t>
      </w:r>
      <w:r w:rsidR="00DA67C3" w:rsidRPr="00A20489">
        <w:rPr>
          <w:rFonts w:ascii="Bookman Old Style" w:eastAsia="SimSun" w:hAnsi="Bookman Old Style" w:cs="Lucida Sans"/>
          <w:kern w:val="1"/>
          <w:lang w:eastAsia="hi-IN" w:bidi="hi-IN"/>
        </w:rPr>
        <w:t xml:space="preserve"> “15 per cento”</w:t>
      </w:r>
    </w:p>
    <w:p w14:paraId="496D1B00" w14:textId="09A8C30B" w:rsidR="00DA67C3" w:rsidRPr="00A20489" w:rsidRDefault="000E1F5E" w:rsidP="0035586D">
      <w:pPr>
        <w:widowControl w:val="0"/>
        <w:suppressAutoHyphens/>
        <w:spacing w:after="80"/>
        <w:jc w:val="center"/>
        <w:rPr>
          <w:rFonts w:ascii="Bookman Old Style" w:eastAsia="SimSun" w:hAnsi="Bookman Old Style" w:cs="Lucida Sans"/>
          <w:b/>
          <w:bCs/>
          <w:kern w:val="1"/>
          <w:lang w:eastAsia="hi-IN" w:bidi="hi-IN"/>
        </w:rPr>
      </w:pPr>
      <w:r w:rsidRPr="00A20489">
        <w:rPr>
          <w:rFonts w:ascii="Bookman Old Style" w:eastAsia="SimSun" w:hAnsi="Bookman Old Style" w:cs="Lucida Sans"/>
          <w:b/>
          <w:bCs/>
          <w:kern w:val="1"/>
          <w:lang w:eastAsia="hi-IN" w:bidi="hi-IN"/>
        </w:rPr>
        <w:t>M</w:t>
      </w:r>
      <w:r w:rsidR="0035586D" w:rsidRPr="00A20489">
        <w:rPr>
          <w:rFonts w:ascii="Bookman Old Style" w:eastAsia="SimSun" w:hAnsi="Bookman Old Style" w:cs="Lucida Sans"/>
          <w:b/>
          <w:bCs/>
          <w:kern w:val="1"/>
          <w:lang w:eastAsia="hi-IN" w:bidi="hi-IN"/>
        </w:rPr>
        <w:t>otivazione</w:t>
      </w:r>
    </w:p>
    <w:p w14:paraId="28E7708D" w14:textId="4689FF90" w:rsidR="00F52871" w:rsidRDefault="004760D2" w:rsidP="00BD3495">
      <w:pPr>
        <w:widowControl w:val="0"/>
        <w:suppressAutoHyphens/>
        <w:spacing w:after="80"/>
        <w:jc w:val="both"/>
        <w:rPr>
          <w:rFonts w:ascii="Bookman Old Style" w:eastAsia="SimSun" w:hAnsi="Bookman Old Style" w:cs="Lucida Sans"/>
          <w:i/>
          <w:iCs/>
          <w:kern w:val="1"/>
          <w:lang w:eastAsia="hi-IN" w:bidi="hi-IN"/>
        </w:rPr>
      </w:pPr>
      <w:r w:rsidRPr="00A20489">
        <w:rPr>
          <w:rFonts w:ascii="Bookman Old Style" w:eastAsia="SimSun" w:hAnsi="Bookman Old Style" w:cs="Lucida Sans"/>
          <w:i/>
          <w:iCs/>
          <w:kern w:val="1"/>
          <w:lang w:eastAsia="hi-IN" w:bidi="hi-IN"/>
        </w:rPr>
        <w:t>Si ritiene che il 10 per cento previsto dalla norma non sia sufficiente a coprire l’aumento del prezzo dei materiali.</w:t>
      </w:r>
      <w:r w:rsidR="00D42C7C">
        <w:rPr>
          <w:rFonts w:ascii="Bookman Old Style" w:eastAsia="SimSun" w:hAnsi="Bookman Old Style" w:cs="Lucida Sans"/>
          <w:i/>
          <w:iCs/>
          <w:kern w:val="1"/>
          <w:lang w:eastAsia="hi-IN" w:bidi="hi-IN"/>
        </w:rPr>
        <w:t xml:space="preserve"> Se ne propone quindi l’aumento al 15%.</w:t>
      </w:r>
    </w:p>
    <w:p w14:paraId="64C5369B" w14:textId="77777777" w:rsidR="000365B4" w:rsidRPr="00A20489" w:rsidRDefault="000365B4" w:rsidP="00BD3495">
      <w:pPr>
        <w:widowControl w:val="0"/>
        <w:suppressAutoHyphens/>
        <w:spacing w:after="80"/>
        <w:jc w:val="both"/>
        <w:rPr>
          <w:rFonts w:ascii="Bookman Old Style" w:eastAsia="SimSun" w:hAnsi="Bookman Old Style" w:cs="Lucida Sans"/>
          <w:i/>
          <w:iCs/>
          <w:kern w:val="1"/>
          <w:lang w:eastAsia="hi-IN" w:bidi="hi-IN"/>
        </w:rPr>
      </w:pPr>
    </w:p>
    <w:p w14:paraId="44B4E609" w14:textId="4B0C7AA0" w:rsidR="00D17121" w:rsidRPr="00F56158" w:rsidRDefault="006B456A"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28" w:name="_Toc121214268"/>
      <w:r w:rsidRPr="009E1B8B">
        <w:rPr>
          <w:rFonts w:ascii="Bookman Old Style" w:hAnsi="Bookman Old Style"/>
          <w:b/>
          <w:bCs/>
          <w:color w:val="2F5496" w:themeColor="accent1" w:themeShade="BF"/>
          <w:sz w:val="22"/>
          <w:szCs w:val="22"/>
        </w:rPr>
        <w:t>Sostegno</w:t>
      </w:r>
      <w:r w:rsidRPr="00532A23">
        <w:rPr>
          <w:rFonts w:ascii="Bookman Old Style" w:hAnsi="Bookman Old Style" w:cs="Bookman Old Style"/>
          <w:b/>
          <w:bCs/>
          <w:color w:val="2F5496"/>
          <w:lang w:eastAsia="it-IT"/>
        </w:rPr>
        <w:t xml:space="preserve"> </w:t>
      </w:r>
      <w:r>
        <w:rPr>
          <w:rFonts w:ascii="Bookman Old Style" w:hAnsi="Bookman Old Style" w:cs="Bookman Old Style"/>
          <w:b/>
          <w:bCs/>
          <w:color w:val="2F5496"/>
          <w:lang w:eastAsia="it-IT"/>
        </w:rPr>
        <w:t xml:space="preserve">al </w:t>
      </w:r>
      <w:r w:rsidRPr="00532A23">
        <w:rPr>
          <w:rFonts w:ascii="Bookman Old Style" w:hAnsi="Bookman Old Style" w:cs="Bookman Old Style"/>
          <w:b/>
          <w:bCs/>
          <w:color w:val="2F5496"/>
          <w:lang w:eastAsia="it-IT"/>
        </w:rPr>
        <w:t xml:space="preserve">ripiano </w:t>
      </w:r>
      <w:r>
        <w:rPr>
          <w:rFonts w:ascii="Bookman Old Style" w:hAnsi="Bookman Old Style" w:cs="Bookman Old Style"/>
          <w:b/>
          <w:bCs/>
          <w:color w:val="2F5496"/>
          <w:lang w:eastAsia="it-IT"/>
        </w:rPr>
        <w:t xml:space="preserve">degli eventuali </w:t>
      </w:r>
      <w:r w:rsidRPr="00532A23">
        <w:rPr>
          <w:rFonts w:ascii="Bookman Old Style" w:hAnsi="Bookman Old Style" w:cs="Bookman Old Style"/>
          <w:b/>
          <w:bCs/>
          <w:color w:val="2F5496"/>
          <w:lang w:eastAsia="it-IT"/>
        </w:rPr>
        <w:t>disavanzi dovuti a</w:t>
      </w:r>
      <w:r>
        <w:rPr>
          <w:rFonts w:ascii="Bookman Old Style" w:hAnsi="Bookman Old Style" w:cs="Bookman Old Style"/>
          <w:b/>
          <w:bCs/>
          <w:color w:val="2F5496"/>
          <w:lang w:eastAsia="it-IT"/>
        </w:rPr>
        <w:t>llo</w:t>
      </w:r>
      <w:r w:rsidRPr="00532A23">
        <w:rPr>
          <w:rFonts w:ascii="Bookman Old Style" w:hAnsi="Bookman Old Style" w:cs="Bookman Old Style"/>
          <w:b/>
          <w:bCs/>
          <w:color w:val="2F5496"/>
          <w:lang w:eastAsia="it-IT"/>
        </w:rPr>
        <w:t xml:space="preserve"> stralcio cartelle </w:t>
      </w:r>
      <w:r>
        <w:rPr>
          <w:rFonts w:ascii="Bookman Old Style" w:hAnsi="Bookman Old Style" w:cs="Bookman Old Style"/>
          <w:b/>
          <w:bCs/>
          <w:color w:val="2F5496"/>
          <w:lang w:eastAsia="it-IT"/>
        </w:rPr>
        <w:t xml:space="preserve">esattoriali </w:t>
      </w:r>
      <w:r w:rsidRPr="00532A23">
        <w:rPr>
          <w:rFonts w:ascii="Bookman Old Style" w:hAnsi="Bookman Old Style" w:cs="Bookman Old Style"/>
          <w:b/>
          <w:bCs/>
          <w:color w:val="2F5496"/>
          <w:lang w:eastAsia="it-IT"/>
        </w:rPr>
        <w:t>fino a 1000 euro (art. 46)</w:t>
      </w:r>
      <w:bookmarkEnd w:id="28"/>
    </w:p>
    <w:p w14:paraId="79474029" w14:textId="77777777" w:rsidR="002248C4" w:rsidRPr="000904DA" w:rsidRDefault="002248C4" w:rsidP="002248C4">
      <w:pPr>
        <w:spacing w:after="80"/>
        <w:rPr>
          <w:rFonts w:ascii="Bookman Old Style" w:hAnsi="Bookman Old Style"/>
          <w:i/>
          <w:iCs/>
        </w:rPr>
      </w:pPr>
      <w:r w:rsidRPr="000904DA">
        <w:rPr>
          <w:rFonts w:ascii="Bookman Old Style" w:hAnsi="Bookman Old Style"/>
          <w:i/>
          <w:iCs/>
        </w:rPr>
        <w:t xml:space="preserve">All’articolo 46 è aggiunto il seguente comma: </w:t>
      </w:r>
    </w:p>
    <w:p w14:paraId="3D755A28" w14:textId="77777777" w:rsidR="002248C4" w:rsidRPr="00532A23" w:rsidRDefault="002248C4" w:rsidP="002248C4">
      <w:pPr>
        <w:spacing w:after="80"/>
        <w:jc w:val="both"/>
        <w:rPr>
          <w:rFonts w:ascii="Bookman Old Style" w:hAnsi="Bookman Old Style"/>
        </w:rPr>
      </w:pPr>
      <w:r>
        <w:rPr>
          <w:rFonts w:ascii="Bookman Old Style" w:hAnsi="Bookman Old Style"/>
        </w:rPr>
        <w:t>“</w:t>
      </w:r>
      <w:r w:rsidRPr="00532A23">
        <w:rPr>
          <w:rFonts w:ascii="Bookman Old Style" w:hAnsi="Bookman Old Style"/>
        </w:rPr>
        <w:t>7. Al fine di assicurare la sostenibilità della misura di cui al presente articolo e facilitare i provvedimenti di cui al penultimo periodo del comma 1 da parte dei comuni, delle unioni di comuni e delle altre forme associative comunali titolari di crediti oggetto dello stralcio dei crediti di cui al presente articolo, è costituito presso il Ministero dell’Interno un fondo per un importo massimo di 16 milioni di euro per ciascuno degli anni dal 2023 al 2027, da ripartirsi tra i predetti enti in proporzione e fino a concorrenza del disavanzo o del maggior disavanzo emerso per effetto del predetto stralcio, sulla base dei dati comunicati dall’Agenzia delle Entrate-Riscossione e dei rendiconti dell’esercizio 2022 degli enti interessati. Il riparto è determinato con uno o più decreti del Ministro dell’Interno, di concerto con il Ministro dell’economia e delle finanze, previa intesa presso la Conferenza Stato-città e autonomie locali, di natura anche pluriennale, da emanarsi a decorrere dal 31 ottobre 2023 e, successivamente, non oltre il 31 ottobre dell’anno di riferimento. Gli enti locali beneficiari destinano il contributo ricevuto alla riduzione del disavanzo, come risultante alla fine di ciascun anno di spettanza.</w:t>
      </w:r>
      <w:r>
        <w:rPr>
          <w:rFonts w:ascii="Bookman Old Style" w:hAnsi="Bookman Old Style"/>
        </w:rPr>
        <w:t>”</w:t>
      </w:r>
    </w:p>
    <w:p w14:paraId="5A1094B6" w14:textId="77777777" w:rsidR="002248C4" w:rsidRPr="00532A23" w:rsidRDefault="002248C4" w:rsidP="002248C4">
      <w:pPr>
        <w:spacing w:after="80"/>
        <w:jc w:val="center"/>
        <w:rPr>
          <w:rFonts w:ascii="Bookman Old Style" w:hAnsi="Bookman Old Style"/>
          <w:b/>
          <w:bCs/>
        </w:rPr>
      </w:pPr>
      <w:r w:rsidRPr="00532A23">
        <w:rPr>
          <w:rFonts w:ascii="Bookman Old Style" w:hAnsi="Bookman Old Style"/>
          <w:b/>
          <w:bCs/>
        </w:rPr>
        <w:t>Motivazione</w:t>
      </w:r>
    </w:p>
    <w:p w14:paraId="4925DE56" w14:textId="77777777" w:rsidR="002248C4" w:rsidRDefault="002248C4" w:rsidP="002248C4">
      <w:pPr>
        <w:spacing w:after="80"/>
        <w:jc w:val="both"/>
        <w:rPr>
          <w:rFonts w:ascii="Bookman Old Style" w:hAnsi="Bookman Old Style"/>
          <w:i/>
          <w:iCs/>
        </w:rPr>
      </w:pPr>
      <w:r w:rsidRPr="00532A23">
        <w:rPr>
          <w:rFonts w:ascii="Bookman Old Style" w:hAnsi="Bookman Old Style"/>
          <w:i/>
          <w:iCs/>
        </w:rPr>
        <w:t xml:space="preserve">Come più volte segnalato, l’abbattimento dei crediti di minore entità colpisce in modo particolare le entrate iscritte a ruolo dei Comuni, in massima parte di dimensione piccola o minima. Secondo valutazioni di qualche anno fa il 90 per cento delle posizioni a ruolo comunali non supera i 1.000 euro. La valutazione prudenziale del minore incasso da importi iscritti a ruolo, tra il 2000 e il 2015, di pertinenza dei Comuni e delle loro forme associative ammonta a circa 300 milioni di euro, considerando che le partite iscritte in ruoli emessi nel primo decennio (2001-2010) sono già state oggetto di iniziative analoghe negli scorsi anni. </w:t>
      </w:r>
    </w:p>
    <w:p w14:paraId="4CCF6960" w14:textId="77777777" w:rsidR="002248C4" w:rsidRPr="00532A23" w:rsidRDefault="002248C4" w:rsidP="002248C4">
      <w:pPr>
        <w:spacing w:after="80"/>
        <w:jc w:val="both"/>
        <w:rPr>
          <w:rFonts w:ascii="Bookman Old Style" w:hAnsi="Bookman Old Style"/>
          <w:i/>
          <w:iCs/>
        </w:rPr>
      </w:pPr>
      <w:r w:rsidRPr="00532A23">
        <w:rPr>
          <w:rFonts w:ascii="Bookman Old Style" w:hAnsi="Bookman Old Style"/>
          <w:i/>
          <w:iCs/>
        </w:rPr>
        <w:t>È ragionevole ritenere che una parte cospicua di queste partite sia già stata oggetto di abbattimento delle poste attive iscritte nei bilanci degli enti. Tuttavia, il sostegno di cui all’emendamento proposto è necessario per evitare gli effetti di insorgenza o incremento dei disavanzi per gli enti locali finanziariamente più deboli che avrebbero maggiori difficoltà a provvedere con risorse proprie a questa fonte di squilibrio. Si tratta dunque di un sostegno limitato, ma ineludibile in considerazione del carattere obbligatorio dell’abbattimento dei crediti disposto con l’articolo 46</w:t>
      </w:r>
      <w:r>
        <w:rPr>
          <w:rFonts w:ascii="Bookman Old Style" w:hAnsi="Bookman Old Style"/>
          <w:i/>
          <w:iCs/>
        </w:rPr>
        <w:t>.</w:t>
      </w:r>
    </w:p>
    <w:p w14:paraId="75CB5B85" w14:textId="77777777" w:rsidR="002248C4" w:rsidRPr="00A20489" w:rsidRDefault="002248C4" w:rsidP="00BD3495">
      <w:pPr>
        <w:widowControl w:val="0"/>
        <w:suppressAutoHyphens/>
        <w:spacing w:after="80"/>
        <w:jc w:val="both"/>
        <w:rPr>
          <w:rFonts w:ascii="Bookman Old Style" w:eastAsia="SimSun" w:hAnsi="Bookman Old Style" w:cs="Lucida Sans"/>
          <w:b/>
          <w:bCs/>
          <w:kern w:val="1"/>
          <w:lang w:eastAsia="hi-IN" w:bidi="hi-IN"/>
        </w:rPr>
      </w:pPr>
    </w:p>
    <w:p w14:paraId="188C54DE" w14:textId="1B57B363" w:rsidR="007D1C4C" w:rsidRPr="00F56158" w:rsidRDefault="00E90BC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29" w:name="_Toc121214269"/>
      <w:r w:rsidRPr="00F56158">
        <w:rPr>
          <w:rFonts w:ascii="Bookman Old Style" w:hAnsi="Bookman Old Style"/>
          <w:b/>
          <w:bCs/>
          <w:color w:val="2F5496" w:themeColor="accent1" w:themeShade="BF"/>
          <w:sz w:val="22"/>
          <w:szCs w:val="22"/>
        </w:rPr>
        <w:t>Agevolazioni per l’acquisto di alimentari di prima necessità</w:t>
      </w:r>
      <w:r w:rsidR="007E173F" w:rsidRPr="00F56158">
        <w:rPr>
          <w:rFonts w:ascii="Bookman Old Style" w:hAnsi="Bookman Old Style"/>
          <w:b/>
          <w:bCs/>
          <w:color w:val="2F5496" w:themeColor="accent1" w:themeShade="BF"/>
          <w:sz w:val="22"/>
          <w:szCs w:val="22"/>
        </w:rPr>
        <w:t xml:space="preserve"> (Art. 78)</w:t>
      </w:r>
      <w:bookmarkEnd w:id="29"/>
      <w:r w:rsidR="009D535C" w:rsidRPr="00F56158">
        <w:rPr>
          <w:rFonts w:ascii="Bookman Old Style" w:hAnsi="Bookman Old Style"/>
          <w:b/>
          <w:bCs/>
          <w:color w:val="2F5496" w:themeColor="accent1" w:themeShade="BF"/>
          <w:sz w:val="22"/>
          <w:szCs w:val="22"/>
        </w:rPr>
        <w:t xml:space="preserve"> </w:t>
      </w:r>
    </w:p>
    <w:p w14:paraId="0F93C21C" w14:textId="378EF9CE" w:rsidR="0067706D" w:rsidRPr="00A20489" w:rsidRDefault="0067706D" w:rsidP="0067706D">
      <w:pPr>
        <w:widowControl w:val="0"/>
        <w:suppressAutoHyphens/>
        <w:spacing w:after="80"/>
        <w:jc w:val="both"/>
        <w:rPr>
          <w:rFonts w:ascii="Bookman Old Style" w:eastAsia="SimSun" w:hAnsi="Bookman Old Style" w:cs="Lucida Sans"/>
          <w:b/>
          <w:bCs/>
          <w:kern w:val="1"/>
          <w:lang w:eastAsia="hi-IN" w:bidi="hi-IN"/>
        </w:rPr>
      </w:pPr>
      <w:r w:rsidRPr="00A20489">
        <w:rPr>
          <w:rFonts w:ascii="Bookman Old Style" w:eastAsia="SimSun" w:hAnsi="Bookman Old Style" w:cs="Lucida Sans"/>
          <w:i/>
          <w:iCs/>
          <w:kern w:val="1"/>
          <w:lang w:eastAsia="hi-IN" w:bidi="hi-IN"/>
        </w:rPr>
        <w:t>All’art. 78, comma 1</w:t>
      </w:r>
      <w:r w:rsidR="00AF689E" w:rsidRPr="00A20489">
        <w:rPr>
          <w:rFonts w:ascii="Bookman Old Style" w:eastAsia="SimSun" w:hAnsi="Bookman Old Style" w:cs="Lucida Sans"/>
          <w:i/>
          <w:iCs/>
          <w:kern w:val="1"/>
          <w:lang w:eastAsia="hi-IN" w:bidi="hi-IN"/>
        </w:rPr>
        <w:t>, dopo le parole “</w:t>
      </w:r>
      <w:r w:rsidR="00AF689E" w:rsidRPr="00A20489">
        <w:rPr>
          <w:rFonts w:ascii="Bookman Old Style" w:eastAsia="SimSun" w:hAnsi="Bookman Old Style" w:cs="Lucida Sans"/>
          <w:kern w:val="1"/>
          <w:lang w:eastAsia="hi-IN" w:bidi="hi-IN"/>
        </w:rPr>
        <w:t>alimentari</w:t>
      </w:r>
      <w:r w:rsidR="00AF689E" w:rsidRPr="00A20489">
        <w:rPr>
          <w:rFonts w:ascii="Bookman Old Style" w:eastAsia="SimSun" w:hAnsi="Bookman Old Style" w:cs="Lucida Sans"/>
          <w:i/>
          <w:iCs/>
          <w:kern w:val="1"/>
          <w:lang w:eastAsia="hi-IN" w:bidi="hi-IN"/>
        </w:rPr>
        <w:t>” aggiungere le seguenti parole “</w:t>
      </w:r>
      <w:r w:rsidR="005F287F" w:rsidRPr="00A20489">
        <w:rPr>
          <w:rFonts w:ascii="Bookman Old Style" w:eastAsia="SimSun" w:hAnsi="Bookman Old Style" w:cs="Lucida Sans"/>
          <w:i/>
          <w:iCs/>
          <w:kern w:val="1"/>
          <w:lang w:eastAsia="hi-IN" w:bidi="hi-IN"/>
        </w:rPr>
        <w:t xml:space="preserve"> </w:t>
      </w:r>
      <w:r w:rsidR="005F287F" w:rsidRPr="000D1562">
        <w:rPr>
          <w:rFonts w:ascii="Bookman Old Style" w:eastAsia="SimSun" w:hAnsi="Bookman Old Style" w:cs="Lucida Sans"/>
          <w:kern w:val="1"/>
          <w:lang w:eastAsia="hi-IN" w:bidi="hi-IN"/>
        </w:rPr>
        <w:t xml:space="preserve">nonché </w:t>
      </w:r>
      <w:r w:rsidR="005F287F" w:rsidRPr="000D1562">
        <w:rPr>
          <w:rFonts w:ascii="Bookman Old Style" w:eastAsia="Bookman Old Style" w:hAnsi="Bookman Old Style" w:cs="Bookman Old Style"/>
        </w:rPr>
        <w:t>per il pagamento di altri generi di prima necessità</w:t>
      </w:r>
      <w:r w:rsidR="00AF689E" w:rsidRPr="000D1562">
        <w:rPr>
          <w:rFonts w:ascii="Bookman Old Style" w:eastAsia="SimSun" w:hAnsi="Bookman Old Style" w:cs="Lucida Sans"/>
          <w:i/>
          <w:iCs/>
          <w:kern w:val="1"/>
          <w:lang w:eastAsia="hi-IN" w:bidi="hi-IN"/>
        </w:rPr>
        <w:t>”</w:t>
      </w:r>
    </w:p>
    <w:p w14:paraId="01CBE6F1" w14:textId="256B4DC3" w:rsidR="00E90BC3" w:rsidRPr="00A20489" w:rsidRDefault="006E3C94" w:rsidP="00BD3495">
      <w:pPr>
        <w:widowControl w:val="0"/>
        <w:suppressAutoHyphens/>
        <w:spacing w:after="80"/>
        <w:jc w:val="both"/>
        <w:rPr>
          <w:rFonts w:ascii="Bookman Old Style" w:eastAsia="SimSun" w:hAnsi="Bookman Old Style" w:cs="Lucida Sans"/>
          <w:kern w:val="1"/>
          <w:lang w:eastAsia="hi-IN" w:bidi="hi-IN"/>
        </w:rPr>
      </w:pPr>
      <w:r w:rsidRPr="00A20489">
        <w:rPr>
          <w:rFonts w:ascii="Bookman Old Style" w:eastAsia="SimSun" w:hAnsi="Bookman Old Style" w:cs="Lucida Sans"/>
          <w:i/>
          <w:iCs/>
          <w:kern w:val="1"/>
          <w:lang w:eastAsia="hi-IN" w:bidi="hi-IN"/>
        </w:rPr>
        <w:t>All’art. 78, comma 2, dopo le parole</w:t>
      </w:r>
      <w:r w:rsidRPr="00A20489">
        <w:rPr>
          <w:rFonts w:ascii="Bookman Old Style" w:eastAsia="SimSun" w:hAnsi="Bookman Old Style" w:cs="Lucida Sans"/>
          <w:kern w:val="1"/>
          <w:lang w:eastAsia="hi-IN" w:bidi="hi-IN"/>
        </w:rPr>
        <w:t xml:space="preserve"> “Ministro dell’economia e delle finanze</w:t>
      </w:r>
      <w:r w:rsidR="007E173F" w:rsidRPr="00A20489">
        <w:rPr>
          <w:rFonts w:ascii="Bookman Old Style" w:eastAsia="SimSun" w:hAnsi="Bookman Old Style" w:cs="Lucida Sans"/>
          <w:kern w:val="1"/>
          <w:lang w:eastAsia="hi-IN" w:bidi="hi-IN"/>
        </w:rPr>
        <w:t xml:space="preserve">” </w:t>
      </w:r>
      <w:r w:rsidR="007E173F" w:rsidRPr="00A20489">
        <w:rPr>
          <w:rFonts w:ascii="Bookman Old Style" w:eastAsia="SimSun" w:hAnsi="Bookman Old Style" w:cs="Lucida Sans"/>
          <w:i/>
          <w:iCs/>
          <w:kern w:val="1"/>
          <w:lang w:eastAsia="hi-IN" w:bidi="hi-IN"/>
        </w:rPr>
        <w:t>aggiungere le seguenti parole</w:t>
      </w:r>
      <w:r w:rsidR="007E173F" w:rsidRPr="00A20489">
        <w:rPr>
          <w:rFonts w:ascii="Bookman Old Style" w:eastAsia="SimSun" w:hAnsi="Bookman Old Style" w:cs="Lucida Sans"/>
          <w:kern w:val="1"/>
          <w:lang w:eastAsia="hi-IN" w:bidi="hi-IN"/>
        </w:rPr>
        <w:t xml:space="preserve"> “previa Intesa in Conferenza Stato Città e Autonomie locali”</w:t>
      </w:r>
    </w:p>
    <w:p w14:paraId="4457A14A" w14:textId="3A874482" w:rsidR="00E90BC3" w:rsidRPr="00A20489" w:rsidRDefault="00211A1A" w:rsidP="00211A1A">
      <w:pPr>
        <w:widowControl w:val="0"/>
        <w:suppressAutoHyphens/>
        <w:spacing w:after="80"/>
        <w:jc w:val="center"/>
        <w:rPr>
          <w:rFonts w:ascii="Bookman Old Style" w:eastAsia="SimSun" w:hAnsi="Bookman Old Style" w:cs="Lucida Sans"/>
          <w:b/>
          <w:bCs/>
          <w:kern w:val="1"/>
          <w:lang w:eastAsia="hi-IN" w:bidi="hi-IN"/>
        </w:rPr>
      </w:pPr>
      <w:r w:rsidRPr="00A20489">
        <w:rPr>
          <w:rFonts w:ascii="Bookman Old Style" w:eastAsia="SimSun" w:hAnsi="Bookman Old Style" w:cs="Lucida Sans"/>
          <w:b/>
          <w:bCs/>
          <w:kern w:val="1"/>
          <w:lang w:eastAsia="hi-IN" w:bidi="hi-IN"/>
        </w:rPr>
        <w:t>Motivazione</w:t>
      </w:r>
    </w:p>
    <w:p w14:paraId="725C089D" w14:textId="383E3587" w:rsidR="00211A1A" w:rsidRPr="00B850EE" w:rsidRDefault="0033357D" w:rsidP="00211A1A">
      <w:pPr>
        <w:widowControl w:val="0"/>
        <w:suppressAutoHyphens/>
        <w:spacing w:after="80"/>
        <w:rPr>
          <w:rFonts w:ascii="Bookman Old Style" w:eastAsia="SimSun" w:hAnsi="Bookman Old Style" w:cs="Lucida Sans"/>
          <w:i/>
          <w:iCs/>
          <w:kern w:val="1"/>
          <w:lang w:eastAsia="hi-IN" w:bidi="hi-IN"/>
        </w:rPr>
      </w:pPr>
      <w:r w:rsidRPr="00B850EE">
        <w:rPr>
          <w:rFonts w:ascii="Bookman Old Style" w:eastAsia="SimSun" w:hAnsi="Bookman Old Style" w:cs="Lucida Sans"/>
          <w:i/>
          <w:iCs/>
          <w:kern w:val="1"/>
          <w:lang w:eastAsia="hi-IN" w:bidi="hi-IN"/>
        </w:rPr>
        <w:t xml:space="preserve">La proposta </w:t>
      </w:r>
      <w:r w:rsidR="00546689" w:rsidRPr="00B850EE">
        <w:rPr>
          <w:rFonts w:ascii="Bookman Old Style" w:eastAsia="SimSun" w:hAnsi="Bookman Old Style" w:cs="Lucida Sans"/>
          <w:i/>
          <w:iCs/>
          <w:kern w:val="1"/>
          <w:lang w:eastAsia="hi-IN" w:bidi="hi-IN"/>
        </w:rPr>
        <w:t>emendativa</w:t>
      </w:r>
      <w:r w:rsidRPr="00B850EE">
        <w:rPr>
          <w:rFonts w:ascii="Bookman Old Style" w:eastAsia="SimSun" w:hAnsi="Bookman Old Style" w:cs="Lucida Sans"/>
          <w:i/>
          <w:iCs/>
          <w:kern w:val="1"/>
          <w:lang w:eastAsia="hi-IN" w:bidi="hi-IN"/>
        </w:rPr>
        <w:t xml:space="preserve"> serve ad estendere </w:t>
      </w:r>
      <w:r w:rsidR="00546689" w:rsidRPr="00B850EE">
        <w:rPr>
          <w:rFonts w:ascii="Bookman Old Style" w:eastAsia="SimSun" w:hAnsi="Bookman Old Style" w:cs="Lucida Sans"/>
          <w:i/>
          <w:iCs/>
          <w:kern w:val="1"/>
          <w:lang w:eastAsia="hi-IN" w:bidi="hi-IN"/>
        </w:rPr>
        <w:t xml:space="preserve">anche ad altri generi di prima necessità e non solo a quelli alimentari </w:t>
      </w:r>
      <w:r w:rsidRPr="00B850EE">
        <w:rPr>
          <w:rFonts w:ascii="Bookman Old Style" w:eastAsia="SimSun" w:hAnsi="Bookman Old Style" w:cs="Lucida Sans"/>
          <w:i/>
          <w:iCs/>
          <w:kern w:val="1"/>
          <w:lang w:eastAsia="hi-IN" w:bidi="hi-IN"/>
        </w:rPr>
        <w:t xml:space="preserve">le agevolazioni </w:t>
      </w:r>
      <w:r w:rsidR="000D1562" w:rsidRPr="00B850EE">
        <w:rPr>
          <w:rFonts w:ascii="Bookman Old Style" w:eastAsia="SimSun" w:hAnsi="Bookman Old Style" w:cs="Lucida Sans"/>
          <w:i/>
          <w:iCs/>
          <w:kern w:val="1"/>
          <w:lang w:eastAsia="hi-IN" w:bidi="hi-IN"/>
        </w:rPr>
        <w:t xml:space="preserve">previste </w:t>
      </w:r>
      <w:r w:rsidR="00D97604" w:rsidRPr="00B850EE">
        <w:rPr>
          <w:rFonts w:ascii="Bookman Old Style" w:eastAsia="SimSun" w:hAnsi="Bookman Old Style" w:cs="Lucida Sans"/>
          <w:i/>
          <w:iCs/>
          <w:kern w:val="1"/>
          <w:lang w:eastAsia="hi-IN" w:bidi="hi-IN"/>
        </w:rPr>
        <w:t>dalla norma</w:t>
      </w:r>
      <w:r w:rsidR="000D1562" w:rsidRPr="00B850EE">
        <w:rPr>
          <w:rFonts w:ascii="Bookman Old Style" w:eastAsia="SimSun" w:hAnsi="Bookman Old Style" w:cs="Lucida Sans"/>
          <w:i/>
          <w:iCs/>
          <w:kern w:val="1"/>
          <w:lang w:eastAsia="hi-IN" w:bidi="hi-IN"/>
        </w:rPr>
        <w:t>.</w:t>
      </w:r>
    </w:p>
    <w:p w14:paraId="6B69FF9A" w14:textId="71558723" w:rsidR="00FD5C6F" w:rsidRDefault="00FD5C6F">
      <w:pPr>
        <w:rPr>
          <w:rFonts w:ascii="Bookman Old Style" w:eastAsiaTheme="majorEastAsia" w:hAnsi="Bookman Old Style" w:cstheme="majorBidi"/>
          <w:b/>
          <w:bCs/>
          <w:color w:val="2F5496" w:themeColor="accent1" w:themeShade="BF"/>
        </w:rPr>
      </w:pPr>
    </w:p>
    <w:p w14:paraId="21C0A378" w14:textId="0ACCC3EB" w:rsidR="00227A82" w:rsidRPr="00F56158" w:rsidRDefault="00EB39E1"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30" w:name="_Toc121214270"/>
      <w:r w:rsidRPr="009E1B8B">
        <w:rPr>
          <w:rFonts w:ascii="Bookman Old Style" w:hAnsi="Bookman Old Style"/>
          <w:b/>
          <w:bCs/>
          <w:color w:val="2F5496" w:themeColor="accent1" w:themeShade="BF"/>
          <w:sz w:val="22"/>
          <w:szCs w:val="22"/>
        </w:rPr>
        <w:t>Contributo</w:t>
      </w:r>
      <w:r w:rsidRPr="00A6394A">
        <w:rPr>
          <w:rFonts w:ascii="Bookman Old Style" w:hAnsi="Bookman Old Style" w:cs="Bookman Old Style"/>
          <w:b/>
          <w:bCs/>
          <w:color w:val="2F5496"/>
          <w:lang w:eastAsia="it-IT"/>
        </w:rPr>
        <w:t xml:space="preserve"> a sostegno </w:t>
      </w:r>
      <w:r>
        <w:rPr>
          <w:rFonts w:ascii="Bookman Old Style" w:hAnsi="Bookman Old Style" w:cs="Bookman Old Style"/>
          <w:b/>
          <w:bCs/>
          <w:color w:val="2F5496"/>
          <w:lang w:eastAsia="it-IT"/>
        </w:rPr>
        <w:t xml:space="preserve">dell’erogazione </w:t>
      </w:r>
      <w:r w:rsidRPr="00A6394A">
        <w:rPr>
          <w:rFonts w:ascii="Bookman Old Style" w:hAnsi="Bookman Old Style" w:cs="Bookman Old Style"/>
          <w:b/>
          <w:bCs/>
          <w:color w:val="2F5496"/>
          <w:lang w:eastAsia="it-IT"/>
        </w:rPr>
        <w:t xml:space="preserve">una tantum </w:t>
      </w:r>
      <w:r>
        <w:rPr>
          <w:rFonts w:ascii="Bookman Old Style" w:hAnsi="Bookman Old Style" w:cs="Bookman Old Style"/>
          <w:b/>
          <w:bCs/>
          <w:color w:val="2F5496"/>
          <w:lang w:eastAsia="it-IT"/>
        </w:rPr>
        <w:t>ai dipendenti degli enti locali (art. 62)</w:t>
      </w:r>
      <w:bookmarkEnd w:id="30"/>
    </w:p>
    <w:p w14:paraId="1B689A93" w14:textId="77777777" w:rsidR="000321C1" w:rsidRPr="00532A23" w:rsidRDefault="000321C1" w:rsidP="000321C1">
      <w:pPr>
        <w:spacing w:after="80"/>
        <w:jc w:val="both"/>
        <w:rPr>
          <w:rFonts w:ascii="Bookman Old Style" w:hAnsi="Bookman Old Style"/>
          <w:i/>
          <w:iCs/>
        </w:rPr>
      </w:pPr>
      <w:r w:rsidRPr="00532A23">
        <w:rPr>
          <w:rFonts w:ascii="Bookman Old Style" w:hAnsi="Bookman Old Style"/>
          <w:i/>
          <w:iCs/>
        </w:rPr>
        <w:t>All’articolo 62, aggiungere in fine il seguente comma:</w:t>
      </w:r>
    </w:p>
    <w:p w14:paraId="16FEABFB" w14:textId="77777777" w:rsidR="000321C1" w:rsidRPr="00EE4643" w:rsidRDefault="000321C1" w:rsidP="00C7288A">
      <w:pPr>
        <w:spacing w:after="0"/>
        <w:jc w:val="both"/>
        <w:rPr>
          <w:rFonts w:ascii="Bookman Old Style" w:hAnsi="Bookman Old Style"/>
        </w:rPr>
      </w:pPr>
      <w:r w:rsidRPr="00EE4643">
        <w:rPr>
          <w:rFonts w:ascii="Bookman Old Style" w:hAnsi="Bookman Old Style"/>
        </w:rPr>
        <w:t>“4. Al fine di assicurare la sostenibilità finanziaria dell’intervento di cui al comma 3, per il 2023 è costituito presso il Ministero dell’Interno un fondo pari a 170 milioni di euro da ripartirsi a favore dei comuni, delle unioni di comuni e delle altre forme associative di comuni che hanno in carico personale dipendente proprio, nonché delle città metropolitane e delle province, in proporzione del rispettivo numero di personale in servizio e sulla base di eventuali ulteriori criteri da determinarsi mediante decreto del Ministro dell’Interno di concerto con il Ministro dell’Economia e delle finanze e con il Ministro della Funzione pubblica, da emanarsi entro il 30 aprile 2023, previa intesa presso la Conferenza Stato-città e autonomie locali. Agli oneri derivanti dal presente comma, pari a 170 milioni di euro per il 2023 si provvede mediante riduzione di pari importo del fondo di cui all’articolo 152, comma 3.”</w:t>
      </w:r>
    </w:p>
    <w:p w14:paraId="431886F6" w14:textId="77777777" w:rsidR="000321C1" w:rsidRPr="00EE4643" w:rsidRDefault="000321C1" w:rsidP="000321C1">
      <w:pPr>
        <w:spacing w:after="80"/>
        <w:jc w:val="center"/>
        <w:rPr>
          <w:rFonts w:ascii="Bookman Old Style" w:hAnsi="Bookman Old Style"/>
          <w:b/>
          <w:bCs/>
        </w:rPr>
      </w:pPr>
      <w:r w:rsidRPr="00EE4643">
        <w:rPr>
          <w:rFonts w:ascii="Bookman Old Style" w:hAnsi="Bookman Old Style"/>
          <w:b/>
          <w:bCs/>
        </w:rPr>
        <w:t>Motivazione</w:t>
      </w:r>
    </w:p>
    <w:p w14:paraId="1EFE6FD9" w14:textId="77777777" w:rsidR="000321C1" w:rsidRPr="00481E7C" w:rsidRDefault="000321C1" w:rsidP="0003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Bookman Old Style" w:hAnsi="Bookman Old Style"/>
          <w:i/>
          <w:iCs/>
        </w:rPr>
      </w:pPr>
      <w:r w:rsidRPr="00481E7C">
        <w:rPr>
          <w:rFonts w:ascii="Bookman Old Style" w:hAnsi="Bookman Old Style"/>
          <w:i/>
          <w:iCs/>
        </w:rPr>
        <w:t>Il contributo previsto all’articolo comporta un onere insostenibile per gli enti locali, in quanto si aggiunge ai maggiori costi determinati dal recente rinnovo del contratto del settore, in corso di applicazione tra dicembre 2022 e i primi mesi del 2023. Peraltro, non appare pertinente il richiamo all’articolo 48, comma 2, del d.lgs. 165/2001, riguardante “</w:t>
      </w:r>
      <w:r w:rsidRPr="00491A29">
        <w:rPr>
          <w:rFonts w:ascii="Bookman Old Style" w:eastAsia="Times New Roman" w:hAnsi="Bookman Old Style" w:cs="Courier New"/>
          <w:color w:val="19191A"/>
          <w:lang w:eastAsia="it-IT"/>
        </w:rPr>
        <w:t>gli oneri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derivanti</w:t>
      </w:r>
      <w:r w:rsidRPr="00481E7C">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dalla contrattazione collettiva nazionale</w:t>
      </w:r>
      <w:r w:rsidRPr="00481E7C">
        <w:rPr>
          <w:rFonts w:ascii="Bookman Old Style" w:eastAsia="Times New Roman" w:hAnsi="Bookman Old Style" w:cs="Courier New"/>
          <w:color w:val="19191A"/>
          <w:lang w:eastAsia="it-IT"/>
        </w:rPr>
        <w:t>”</w:t>
      </w:r>
      <w:r w:rsidRPr="00491A29">
        <w:rPr>
          <w:rFonts w:ascii="Bookman Old Style" w:eastAsia="Times New Roman" w:hAnsi="Bookman Old Style" w:cs="Courier New"/>
          <w:color w:val="19191A"/>
          <w:lang w:eastAsia="it-IT"/>
        </w:rPr>
        <w:t xml:space="preserve"> </w:t>
      </w:r>
      <w:r w:rsidRPr="00481E7C">
        <w:rPr>
          <w:rFonts w:ascii="Bookman Old Style" w:eastAsia="Times New Roman" w:hAnsi="Bookman Old Style" w:cs="Courier New"/>
          <w:i/>
          <w:iCs/>
          <w:color w:val="19191A"/>
          <w:lang w:eastAsia="it-IT"/>
        </w:rPr>
        <w:t xml:space="preserve">da mantenere </w:t>
      </w:r>
      <w:r w:rsidRPr="00491A29">
        <w:rPr>
          <w:rFonts w:ascii="Bookman Old Style" w:eastAsia="Times New Roman" w:hAnsi="Bookman Old Style" w:cs="Courier New"/>
          <w:i/>
          <w:iCs/>
          <w:color w:val="19191A"/>
          <w:lang w:eastAsia="it-IT"/>
        </w:rPr>
        <w:t>a</w:t>
      </w:r>
      <w:r>
        <w:rPr>
          <w:rFonts w:ascii="Bookman Old Style" w:eastAsia="Times New Roman" w:hAnsi="Bookman Old Style" w:cs="Courier New"/>
          <w:i/>
          <w:iCs/>
          <w:color w:val="19191A"/>
          <w:lang w:eastAsia="it-IT"/>
        </w:rPr>
        <w:t xml:space="preserve"> </w:t>
      </w:r>
      <w:r w:rsidRPr="00491A29">
        <w:rPr>
          <w:rFonts w:ascii="Bookman Old Style" w:eastAsia="Times New Roman" w:hAnsi="Bookman Old Style" w:cs="Courier New"/>
          <w:i/>
          <w:iCs/>
          <w:color w:val="19191A"/>
          <w:lang w:eastAsia="it-IT"/>
        </w:rPr>
        <w:t>carico</w:t>
      </w:r>
      <w:r w:rsidRPr="00481E7C">
        <w:rPr>
          <w:rFonts w:ascii="Bookman Old Style" w:eastAsia="Times New Roman" w:hAnsi="Bookman Old Style" w:cs="Courier New"/>
          <w:i/>
          <w:iCs/>
          <w:color w:val="19191A"/>
          <w:lang w:eastAsia="it-IT"/>
        </w:rPr>
        <w:t xml:space="preserve"> dei bilanci degli enti territoriali, peraltro</w:t>
      </w:r>
      <w:r w:rsidRPr="00481E7C">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nel rispetto dei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vincoli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bilancio,</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del</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patto</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di</w:t>
      </w:r>
      <w:r w:rsidRPr="00481E7C">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stabilita</w:t>
      </w:r>
      <w:r>
        <w:rPr>
          <w:rFonts w:ascii="Bookman Old Style" w:eastAsia="Times New Roman" w:hAnsi="Bookman Old Style" w:cs="Courier New"/>
          <w:color w:val="19191A"/>
          <w:lang w:eastAsia="it-IT"/>
        </w:rPr>
        <w:t>’</w:t>
      </w:r>
      <w:r w:rsidRPr="00491A29">
        <w:rPr>
          <w:rFonts w:ascii="Bookman Old Style" w:eastAsia="Times New Roman" w:hAnsi="Bookman Old Style" w:cs="Courier New"/>
          <w:color w:val="19191A"/>
          <w:lang w:eastAsia="it-IT"/>
        </w:rPr>
        <w:t xml:space="preserve"> e di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analoghi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strumenti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di</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contenimento</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della</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spesa</w:t>
      </w:r>
      <w:r>
        <w:rPr>
          <w:rFonts w:ascii="Bookman Old Style" w:eastAsia="Times New Roman" w:hAnsi="Bookman Old Style" w:cs="Courier New"/>
          <w:color w:val="19191A"/>
          <w:lang w:eastAsia="it-IT"/>
        </w:rPr>
        <w:t xml:space="preserve">” </w:t>
      </w:r>
      <w:r w:rsidRPr="00532A23">
        <w:rPr>
          <w:rFonts w:ascii="Bookman Old Style" w:eastAsia="Times New Roman" w:hAnsi="Bookman Old Style" w:cs="Courier New"/>
          <w:i/>
          <w:iCs/>
          <w:color w:val="19191A"/>
          <w:lang w:eastAsia="it-IT"/>
        </w:rPr>
        <w:t>e</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previa consultazione con le rispettive</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rappresentanze</w:t>
      </w:r>
      <w:r>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istituzionali</w:t>
      </w:r>
      <w:r w:rsidRPr="00481E7C">
        <w:rPr>
          <w:rFonts w:ascii="Bookman Old Style" w:eastAsia="Times New Roman" w:hAnsi="Bookman Old Style" w:cs="Courier New"/>
          <w:color w:val="19191A"/>
          <w:lang w:eastAsia="it-IT"/>
        </w:rPr>
        <w:t xml:space="preserve"> </w:t>
      </w:r>
      <w:r w:rsidRPr="00491A29">
        <w:rPr>
          <w:rFonts w:ascii="Bookman Old Style" w:eastAsia="Times New Roman" w:hAnsi="Bookman Old Style" w:cs="Courier New"/>
          <w:color w:val="19191A"/>
          <w:lang w:eastAsia="it-IT"/>
        </w:rPr>
        <w:t>del sistema delle autonomie</w:t>
      </w:r>
      <w:r w:rsidRPr="00481E7C">
        <w:rPr>
          <w:rFonts w:ascii="Bookman Old Style" w:eastAsia="Times New Roman" w:hAnsi="Bookman Old Style" w:cs="Courier New"/>
          <w:color w:val="19191A"/>
          <w:lang w:eastAsia="it-IT"/>
        </w:rPr>
        <w:t xml:space="preserve">”. </w:t>
      </w:r>
      <w:r w:rsidRPr="00481E7C">
        <w:rPr>
          <w:rFonts w:ascii="Bookman Old Style" w:hAnsi="Bookman Old Style"/>
          <w:i/>
          <w:iCs/>
        </w:rPr>
        <w:t>Si è qui in presenza di un aumento una tantum deciso per legge e senza specifiche connessioni con la contrattazione collettiva</w:t>
      </w:r>
      <w:r>
        <w:rPr>
          <w:rFonts w:ascii="Bookman Old Style" w:hAnsi="Bookman Old Style"/>
          <w:i/>
          <w:iCs/>
        </w:rPr>
        <w:t>, che quindi necessita di un correlato sostegno</w:t>
      </w:r>
      <w:r w:rsidRPr="00481E7C">
        <w:rPr>
          <w:rFonts w:ascii="Bookman Old Style" w:hAnsi="Bookman Old Style"/>
          <w:i/>
          <w:iCs/>
        </w:rPr>
        <w:t xml:space="preserve">. </w:t>
      </w:r>
    </w:p>
    <w:p w14:paraId="2215A190" w14:textId="77777777" w:rsidR="000321C1" w:rsidRPr="00481E7C" w:rsidRDefault="000321C1" w:rsidP="0003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Bookman Old Style" w:hAnsi="Bookman Old Style"/>
          <w:i/>
          <w:iCs/>
        </w:rPr>
      </w:pPr>
      <w:r w:rsidRPr="00481E7C">
        <w:rPr>
          <w:rFonts w:ascii="Bookman Old Style" w:hAnsi="Bookman Old Style"/>
          <w:i/>
          <w:iCs/>
        </w:rPr>
        <w:t>Il calcolo del contributo richiesto è stato effettuato sulla base dei dati del “Conto annuale” del personale pubblicato dalla Ragioneria generale dello Stato e relativo al 2020 (ultimo dato disponibile).</w:t>
      </w:r>
    </w:p>
    <w:p w14:paraId="4FD5398B" w14:textId="45318A22" w:rsidR="007836D3" w:rsidRPr="00F56158" w:rsidRDefault="007836D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31" w:name="_Toc42089234"/>
      <w:bookmarkStart w:id="32" w:name="_Toc121214271"/>
      <w:r w:rsidRPr="00F56158">
        <w:rPr>
          <w:rFonts w:ascii="Bookman Old Style" w:hAnsi="Bookman Old Style"/>
          <w:b/>
          <w:bCs/>
          <w:color w:val="2F5496" w:themeColor="accent1" w:themeShade="BF"/>
          <w:sz w:val="22"/>
          <w:szCs w:val="22"/>
        </w:rPr>
        <w:t>Calcolo del Fondo di garanzia debiti commerciali</w:t>
      </w:r>
      <w:bookmarkEnd w:id="31"/>
      <w:r w:rsidRPr="00F56158">
        <w:rPr>
          <w:rFonts w:ascii="Bookman Old Style" w:hAnsi="Bookman Old Style"/>
          <w:b/>
          <w:bCs/>
          <w:color w:val="2F5496" w:themeColor="accent1" w:themeShade="BF"/>
          <w:sz w:val="22"/>
          <w:szCs w:val="22"/>
        </w:rPr>
        <w:t xml:space="preserve">-Scomputo maggiori oneri da </w:t>
      </w:r>
      <w:r w:rsidR="00E6483F" w:rsidRPr="00F56158">
        <w:rPr>
          <w:rFonts w:ascii="Bookman Old Style" w:hAnsi="Bookman Old Style"/>
          <w:b/>
          <w:bCs/>
          <w:color w:val="2F5496" w:themeColor="accent1" w:themeShade="BF"/>
          <w:sz w:val="22"/>
          <w:szCs w:val="22"/>
        </w:rPr>
        <w:t xml:space="preserve">maggiori </w:t>
      </w:r>
      <w:r w:rsidRPr="00F56158">
        <w:rPr>
          <w:rFonts w:ascii="Bookman Old Style" w:hAnsi="Bookman Old Style"/>
          <w:b/>
          <w:bCs/>
          <w:color w:val="2F5496" w:themeColor="accent1" w:themeShade="BF"/>
          <w:sz w:val="22"/>
          <w:szCs w:val="22"/>
        </w:rPr>
        <w:t>costi energia</w:t>
      </w:r>
      <w:bookmarkEnd w:id="32"/>
      <w:r w:rsidR="006559E5" w:rsidRPr="00F56158">
        <w:rPr>
          <w:rFonts w:ascii="Bookman Old Style" w:hAnsi="Bookman Old Style"/>
          <w:b/>
          <w:bCs/>
          <w:color w:val="2F5496" w:themeColor="accent1" w:themeShade="BF"/>
          <w:sz w:val="22"/>
          <w:szCs w:val="22"/>
        </w:rPr>
        <w:t xml:space="preserve"> </w:t>
      </w:r>
    </w:p>
    <w:p w14:paraId="2601A0BD" w14:textId="4D608BB3" w:rsidR="00013124" w:rsidRPr="00A20489" w:rsidRDefault="00013124" w:rsidP="00013124">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w:t>
      </w:r>
      <w:r w:rsidR="000C7FDE" w:rsidRPr="00A20489">
        <w:rPr>
          <w:rFonts w:ascii="Bookman Old Style" w:hAnsi="Bookman Old Style"/>
          <w:i/>
          <w:iCs/>
          <w:sz w:val="22"/>
          <w:szCs w:val="22"/>
        </w:rPr>
        <w:t>4</w:t>
      </w:r>
      <w:r w:rsidRPr="00A20489">
        <w:rPr>
          <w:rFonts w:ascii="Bookman Old Style" w:hAnsi="Bookman Old Style"/>
          <w:i/>
          <w:iCs/>
          <w:sz w:val="22"/>
          <w:szCs w:val="22"/>
        </w:rPr>
        <w:t xml:space="preserve"> aggiungere il seguente art. 14</w:t>
      </w:r>
      <w:r w:rsidR="000C7FDE" w:rsidRPr="00A20489">
        <w:rPr>
          <w:rFonts w:ascii="Bookman Old Style" w:hAnsi="Bookman Old Style"/>
          <w:i/>
          <w:iCs/>
          <w:sz w:val="22"/>
          <w:szCs w:val="22"/>
        </w:rPr>
        <w:t>4</w:t>
      </w:r>
      <w:r w:rsidRPr="00A20489">
        <w:rPr>
          <w:rFonts w:ascii="Bookman Old Style" w:hAnsi="Bookman Old Style"/>
          <w:i/>
          <w:iCs/>
          <w:sz w:val="22"/>
          <w:szCs w:val="22"/>
        </w:rPr>
        <w:t xml:space="preserve"> bis</w:t>
      </w:r>
    </w:p>
    <w:p w14:paraId="420D6C40" w14:textId="68977A1C" w:rsidR="007836D3" w:rsidRPr="00A20489" w:rsidRDefault="007836D3" w:rsidP="00301BCF">
      <w:pPr>
        <w:spacing w:after="80"/>
        <w:ind w:right="260"/>
        <w:jc w:val="both"/>
        <w:rPr>
          <w:rFonts w:ascii="Bookman Old Style" w:hAnsi="Bookman Old Style" w:cstheme="minorHAnsi"/>
          <w:i/>
          <w:iCs/>
        </w:rPr>
      </w:pPr>
      <w:r w:rsidRPr="00A20489">
        <w:rPr>
          <w:rFonts w:ascii="Bookman Old Style" w:hAnsi="Bookman Old Style" w:cstheme="minorHAnsi"/>
          <w:i/>
          <w:iCs/>
        </w:rPr>
        <w:t>All’art. 1, comma 862, della legge 30</w:t>
      </w:r>
      <w:r w:rsidR="008B32F4" w:rsidRPr="00A20489">
        <w:rPr>
          <w:rFonts w:ascii="Bookman Old Style" w:hAnsi="Bookman Old Style" w:cstheme="minorHAnsi"/>
          <w:i/>
          <w:iCs/>
        </w:rPr>
        <w:t xml:space="preserve"> dicembre </w:t>
      </w:r>
      <w:r w:rsidRPr="00A20489">
        <w:rPr>
          <w:rFonts w:ascii="Bookman Old Style" w:hAnsi="Bookman Old Style" w:cstheme="minorHAnsi"/>
          <w:i/>
          <w:iCs/>
        </w:rPr>
        <w:t>2018, n. 145</w:t>
      </w:r>
      <w:r w:rsidR="00A205F2" w:rsidRPr="00A20489">
        <w:rPr>
          <w:rFonts w:ascii="Bookman Old Style" w:hAnsi="Bookman Old Style" w:cstheme="minorHAnsi"/>
          <w:i/>
          <w:iCs/>
        </w:rPr>
        <w:t>,</w:t>
      </w:r>
      <w:r w:rsidRPr="00A20489">
        <w:rPr>
          <w:rFonts w:ascii="Bookman Old Style" w:hAnsi="Bookman Old Style" w:cstheme="minorHAnsi"/>
          <w:i/>
          <w:iCs/>
        </w:rPr>
        <w:t xml:space="preserve"> aggiungere in fine il seguente periodo:</w:t>
      </w:r>
    </w:p>
    <w:p w14:paraId="17FEBC87" w14:textId="6E10A67C" w:rsidR="007836D3" w:rsidRPr="00A20489" w:rsidRDefault="007836D3" w:rsidP="00301BCF">
      <w:pPr>
        <w:spacing w:after="80"/>
        <w:ind w:right="260" w:hanging="11"/>
        <w:jc w:val="both"/>
        <w:rPr>
          <w:rFonts w:ascii="Bookman Old Style" w:hAnsi="Bookman Old Style" w:cstheme="minorHAnsi"/>
        </w:rPr>
      </w:pPr>
      <w:r w:rsidRPr="00A20489">
        <w:rPr>
          <w:rFonts w:ascii="Bookman Old Style" w:hAnsi="Bookman Old Style" w:cstheme="minorHAnsi"/>
        </w:rPr>
        <w:t>“Per l'annualità 2023, con riferimento alla determinazione del Fondo di garanzia debiti commerciali di cui al presente comma, non sono considerate le spese derivanti dai maggiori oneri connessi all'incremento della spesa per energia elettrica e gas</w:t>
      </w:r>
      <w:r w:rsidR="00DD58A5" w:rsidRPr="00A20489">
        <w:rPr>
          <w:rFonts w:ascii="Bookman Old Style" w:hAnsi="Bookman Old Style" w:cstheme="minorHAnsi"/>
        </w:rPr>
        <w:t xml:space="preserve"> </w:t>
      </w:r>
      <w:r w:rsidRPr="00A20489">
        <w:rPr>
          <w:rFonts w:ascii="Bookman Old Style" w:hAnsi="Bookman Old Style" w:cstheme="minorHAnsi"/>
        </w:rPr>
        <w:t>sulla base del confronto tra le spese sostenute negli esercizi 2022 e 20</w:t>
      </w:r>
      <w:r w:rsidR="00DD58A5" w:rsidRPr="00A20489">
        <w:rPr>
          <w:rFonts w:ascii="Bookman Old Style" w:hAnsi="Bookman Old Style" w:cstheme="minorHAnsi"/>
        </w:rPr>
        <w:t>20</w:t>
      </w:r>
      <w:r w:rsidRPr="00A20489">
        <w:rPr>
          <w:rFonts w:ascii="Bookman Old Style" w:hAnsi="Bookman Old Style" w:cstheme="minorHAnsi"/>
        </w:rPr>
        <w:t>.”</w:t>
      </w:r>
    </w:p>
    <w:p w14:paraId="22934263" w14:textId="77777777" w:rsidR="007836D3" w:rsidRPr="00A20489" w:rsidRDefault="007836D3" w:rsidP="00301BCF">
      <w:pPr>
        <w:spacing w:after="80"/>
        <w:ind w:right="260" w:hanging="11"/>
        <w:jc w:val="center"/>
        <w:rPr>
          <w:rFonts w:ascii="Bookman Old Style" w:hAnsi="Bookman Old Style" w:cstheme="minorHAnsi"/>
          <w:b/>
          <w:bCs/>
          <w:color w:val="000000" w:themeColor="text1"/>
        </w:rPr>
      </w:pPr>
      <w:r w:rsidRPr="00A20489">
        <w:rPr>
          <w:rFonts w:ascii="Bookman Old Style" w:hAnsi="Bookman Old Style" w:cstheme="minorHAnsi"/>
          <w:b/>
          <w:bCs/>
          <w:color w:val="000000" w:themeColor="text1"/>
        </w:rPr>
        <w:t>Motivazione</w:t>
      </w:r>
    </w:p>
    <w:p w14:paraId="2ABE1ED2" w14:textId="4463B98F" w:rsidR="007836D3" w:rsidRPr="00A20489" w:rsidRDefault="007836D3" w:rsidP="00301BCF">
      <w:pPr>
        <w:spacing w:after="80"/>
        <w:ind w:right="261" w:hanging="11"/>
        <w:jc w:val="both"/>
        <w:rPr>
          <w:rFonts w:ascii="Bookman Old Style" w:hAnsi="Bookman Old Style" w:cstheme="minorHAnsi"/>
          <w:i/>
          <w:iCs/>
        </w:rPr>
      </w:pPr>
      <w:r w:rsidRPr="00A20489">
        <w:rPr>
          <w:rFonts w:ascii="Bookman Old Style" w:hAnsi="Bookman Old Style" w:cstheme="minorHAnsi"/>
          <w:i/>
          <w:iCs/>
        </w:rPr>
        <w:t>I diversi contributi straordinari concessi agli enti locali per garantire la continuità dei servizi erogati non copriranno integralmente gli aumenti di spesa derivanti dall’ emergenza “caro bollette”, generando ulteriori tensioni nel conseguimento degli equilibri di parte corrente.</w:t>
      </w:r>
      <w:r w:rsidR="00901A9A">
        <w:rPr>
          <w:rFonts w:ascii="Bookman Old Style" w:hAnsi="Bookman Old Style" w:cstheme="minorHAnsi"/>
          <w:i/>
          <w:iCs/>
        </w:rPr>
        <w:t xml:space="preserve"> </w:t>
      </w:r>
      <w:r w:rsidRPr="00A20489">
        <w:rPr>
          <w:rFonts w:ascii="Bookman Old Style" w:hAnsi="Bookman Old Style" w:cstheme="minorHAnsi"/>
          <w:i/>
          <w:iCs/>
        </w:rPr>
        <w:t>Per un certo numero di enti tale sopravvenuta criticità comporterà ritardi di pagamento non dovuti ad una deficitaria gestione amministrativa e contabile, determinando a stretto giro l’obbligo di un maggiore accantonamento al FGDC e, pertanto, un ammontare minore di risorse effettivamente disponibili per gli equilibri di bilancio.</w:t>
      </w:r>
    </w:p>
    <w:p w14:paraId="5AB12D7D" w14:textId="30952F6D" w:rsidR="007836D3" w:rsidRPr="00A20489" w:rsidRDefault="007836D3" w:rsidP="00301BCF">
      <w:pPr>
        <w:spacing w:after="80"/>
        <w:ind w:right="261" w:hanging="11"/>
        <w:jc w:val="both"/>
        <w:rPr>
          <w:rFonts w:ascii="Bookman Old Style" w:hAnsi="Bookman Old Style" w:cstheme="minorHAnsi"/>
          <w:i/>
          <w:iCs/>
        </w:rPr>
      </w:pPr>
      <w:r w:rsidRPr="00A20489">
        <w:rPr>
          <w:rFonts w:ascii="Bookman Old Style" w:hAnsi="Bookman Old Style" w:cstheme="minorHAnsi"/>
          <w:i/>
          <w:iCs/>
        </w:rPr>
        <w:t>Tenuto conto della condizione di sofferenza finanziaria sopra brevemente richiamata, l</w:t>
      </w:r>
      <w:r w:rsidR="004510F9" w:rsidRPr="00A20489">
        <w:rPr>
          <w:rFonts w:ascii="Bookman Old Style" w:hAnsi="Bookman Old Style" w:cstheme="minorHAnsi"/>
          <w:i/>
          <w:iCs/>
        </w:rPr>
        <w:t>a norma</w:t>
      </w:r>
      <w:r w:rsidRPr="00A20489">
        <w:rPr>
          <w:rFonts w:ascii="Bookman Old Style" w:hAnsi="Bookman Old Style" w:cstheme="minorHAnsi"/>
          <w:i/>
          <w:iCs/>
        </w:rPr>
        <w:t xml:space="preserve"> propost</w:t>
      </w:r>
      <w:r w:rsidR="004510F9" w:rsidRPr="00A20489">
        <w:rPr>
          <w:rFonts w:ascii="Bookman Old Style" w:hAnsi="Bookman Old Style" w:cstheme="minorHAnsi"/>
          <w:i/>
          <w:iCs/>
        </w:rPr>
        <w:t>a</w:t>
      </w:r>
      <w:r w:rsidRPr="00A20489">
        <w:rPr>
          <w:rFonts w:ascii="Bookman Old Style" w:hAnsi="Bookman Old Style" w:cstheme="minorHAnsi"/>
          <w:i/>
          <w:iCs/>
        </w:rPr>
        <w:t xml:space="preserve"> intende favorire la programmazione degli equilibri di bilancio senza sacrificare ulteriormente le spese da sostenere per garantire i servizi essenziali.</w:t>
      </w:r>
    </w:p>
    <w:p w14:paraId="5A2AEE06" w14:textId="77777777" w:rsidR="007836D3" w:rsidRPr="00A20489" w:rsidRDefault="007836D3" w:rsidP="004E4F4F">
      <w:pPr>
        <w:shd w:val="clear" w:color="auto" w:fill="FFFFFF" w:themeFill="background1"/>
        <w:spacing w:after="80"/>
        <w:ind w:right="261" w:hanging="11"/>
        <w:jc w:val="both"/>
        <w:rPr>
          <w:rFonts w:ascii="Bookman Old Style" w:hAnsi="Bookman Old Style" w:cstheme="minorHAnsi"/>
          <w:i/>
          <w:iCs/>
        </w:rPr>
      </w:pPr>
      <w:r w:rsidRPr="00A20489">
        <w:rPr>
          <w:rFonts w:ascii="Bookman Old Style" w:hAnsi="Bookman Old Style" w:cstheme="minorHAnsi"/>
          <w:i/>
          <w:iCs/>
        </w:rPr>
        <w:t>La modifica proposta non comporta alcun aggravio per la finanza pubblica.</w:t>
      </w:r>
    </w:p>
    <w:p w14:paraId="0A5B9F75" w14:textId="0D96830F" w:rsidR="007836D3" w:rsidRPr="00A20489" w:rsidRDefault="007836D3" w:rsidP="004E4F4F">
      <w:pPr>
        <w:shd w:val="clear" w:color="auto" w:fill="FFFFFF" w:themeFill="background1"/>
        <w:spacing w:after="80"/>
        <w:rPr>
          <w:rFonts w:ascii="Bookman Old Style" w:eastAsiaTheme="majorEastAsia" w:hAnsi="Bookman Old Style" w:cstheme="majorBidi"/>
          <w:b/>
          <w:bCs/>
          <w:color w:val="2F5496" w:themeColor="accent1" w:themeShade="BF"/>
        </w:rPr>
      </w:pPr>
      <w:bookmarkStart w:id="33" w:name="_Hlk97048027"/>
    </w:p>
    <w:p w14:paraId="622E9769" w14:textId="3F3FB3E1" w:rsidR="00913582" w:rsidRPr="00F56158" w:rsidRDefault="00311890"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34" w:name="_Toc121214272"/>
      <w:r>
        <w:rPr>
          <w:rFonts w:ascii="Bookman Old Style" w:hAnsi="Bookman Old Style"/>
          <w:b/>
          <w:bCs/>
          <w:color w:val="2F5496" w:themeColor="accent1" w:themeShade="BF"/>
          <w:sz w:val="22"/>
          <w:szCs w:val="22"/>
        </w:rPr>
        <w:t xml:space="preserve">Semplificazione adempimenti per i </w:t>
      </w:r>
      <w:r w:rsidR="009E7174" w:rsidRPr="00F56158">
        <w:rPr>
          <w:rFonts w:ascii="Bookman Old Style" w:hAnsi="Bookman Old Style"/>
          <w:b/>
          <w:bCs/>
          <w:color w:val="2F5496" w:themeColor="accent1" w:themeShade="BF"/>
          <w:sz w:val="22"/>
          <w:szCs w:val="22"/>
        </w:rPr>
        <w:t xml:space="preserve">Comuni coinvolti dagli eventi alluvionali del settembre 2022 nella regione Marche </w:t>
      </w:r>
      <w:r w:rsidR="00270D40">
        <w:rPr>
          <w:rFonts w:ascii="Bookman Old Style" w:hAnsi="Bookman Old Style"/>
          <w:b/>
          <w:bCs/>
          <w:color w:val="2F5496" w:themeColor="accent1" w:themeShade="BF"/>
          <w:sz w:val="22"/>
          <w:szCs w:val="22"/>
        </w:rPr>
        <w:t>(art. 131)</w:t>
      </w:r>
      <w:bookmarkEnd w:id="34"/>
    </w:p>
    <w:p w14:paraId="094DCA71" w14:textId="48C0BE8B" w:rsidR="00D13FE6" w:rsidRDefault="00270D40" w:rsidP="00FC6A8A">
      <w:pPr>
        <w:rPr>
          <w:rFonts w:ascii="Bookman Old Style" w:hAnsi="Bookman Old Style"/>
          <w:i/>
          <w:iCs/>
        </w:rPr>
      </w:pPr>
      <w:r>
        <w:rPr>
          <w:rFonts w:ascii="Bookman Old Style" w:hAnsi="Bookman Old Style"/>
          <w:i/>
          <w:iCs/>
        </w:rPr>
        <w:t>All’</w:t>
      </w:r>
      <w:r w:rsidR="00311890">
        <w:rPr>
          <w:rFonts w:ascii="Bookman Old Style" w:hAnsi="Bookman Old Style"/>
          <w:i/>
          <w:iCs/>
        </w:rPr>
        <w:t xml:space="preserve">articolo </w:t>
      </w:r>
      <w:r w:rsidR="00D13FE6" w:rsidRPr="00A20489">
        <w:rPr>
          <w:rFonts w:ascii="Bookman Old Style" w:hAnsi="Bookman Old Style"/>
          <w:i/>
          <w:iCs/>
        </w:rPr>
        <w:t>13</w:t>
      </w:r>
      <w:r w:rsidR="004863E5">
        <w:rPr>
          <w:rFonts w:ascii="Bookman Old Style" w:hAnsi="Bookman Old Style"/>
          <w:i/>
          <w:iCs/>
        </w:rPr>
        <w:t>1</w:t>
      </w:r>
      <w:r w:rsidR="00D13FE6" w:rsidRPr="00A20489">
        <w:rPr>
          <w:rFonts w:ascii="Bookman Old Style" w:hAnsi="Bookman Old Style"/>
          <w:i/>
          <w:iCs/>
        </w:rPr>
        <w:t xml:space="preserve">, aggiungere </w:t>
      </w:r>
      <w:r w:rsidR="00311890">
        <w:rPr>
          <w:rFonts w:ascii="Bookman Old Style" w:hAnsi="Bookman Old Style"/>
          <w:i/>
          <w:iCs/>
        </w:rPr>
        <w:t>in fine il seguente comma:</w:t>
      </w:r>
    </w:p>
    <w:p w14:paraId="0FA1BFF9" w14:textId="4E1188B4" w:rsidR="009E7174" w:rsidRPr="00A20489" w:rsidRDefault="00311890" w:rsidP="004E4F4F">
      <w:pPr>
        <w:shd w:val="clear" w:color="auto" w:fill="FFFFFF" w:themeFill="background1"/>
        <w:spacing w:after="80"/>
        <w:ind w:right="260" w:hanging="11"/>
        <w:jc w:val="both"/>
        <w:rPr>
          <w:rFonts w:ascii="Bookman Old Style" w:hAnsi="Bookman Old Style"/>
        </w:rPr>
      </w:pPr>
      <w:r>
        <w:rPr>
          <w:rFonts w:ascii="Bookman Old Style" w:hAnsi="Bookman Old Style"/>
        </w:rPr>
        <w:t>“2</w:t>
      </w:r>
      <w:r w:rsidR="009E7174" w:rsidRPr="00A20489">
        <w:rPr>
          <w:rFonts w:ascii="Bookman Old Style" w:hAnsi="Bookman Old Style"/>
        </w:rPr>
        <w:t>. Al fine di facilitare la gestione contabile delle emergenze dovute a calamità naturali da parte degli enti locali, con particolare riguardo ai comuni coinvolti dagli eventi alluvionali verificatisi nel mese di settembre 2022 nella regione Marche, si applicano le seguenti disposizioni:</w:t>
      </w:r>
    </w:p>
    <w:p w14:paraId="4B4E6FB3" w14:textId="77777777" w:rsidR="009E7174" w:rsidRPr="00A20489" w:rsidRDefault="009E7174" w:rsidP="002F3312">
      <w:pPr>
        <w:pStyle w:val="Paragrafoelenco"/>
        <w:numPr>
          <w:ilvl w:val="0"/>
          <w:numId w:val="16"/>
        </w:numPr>
        <w:spacing w:after="80"/>
        <w:ind w:left="360" w:right="260"/>
        <w:jc w:val="both"/>
        <w:rPr>
          <w:rFonts w:ascii="Bookman Old Style" w:hAnsi="Bookman Old Style"/>
        </w:rPr>
      </w:pPr>
      <w:r w:rsidRPr="00A20489">
        <w:rPr>
          <w:rFonts w:ascii="Bookman Old Style" w:hAnsi="Bookman Old Style"/>
        </w:rPr>
        <w:t xml:space="preserve">dopo il comma 862, articolo 1, della legge 30 dicembre 2018, n. 145, è inserito il seguente: </w:t>
      </w:r>
    </w:p>
    <w:p w14:paraId="1B20015E" w14:textId="77777777" w:rsidR="009E7174" w:rsidRPr="00A20489" w:rsidRDefault="009E7174" w:rsidP="009E7174">
      <w:pPr>
        <w:spacing w:after="80"/>
        <w:ind w:left="371" w:right="260" w:hanging="11"/>
        <w:jc w:val="both"/>
        <w:rPr>
          <w:rFonts w:ascii="Bookman Old Style" w:hAnsi="Bookman Old Style"/>
        </w:rPr>
      </w:pPr>
      <w:r w:rsidRPr="00A20489">
        <w:rPr>
          <w:rFonts w:ascii="Bookman Old Style" w:hAnsi="Bookman Old Style"/>
        </w:rPr>
        <w:t>“862-</w:t>
      </w:r>
      <w:r w:rsidRPr="00A20489">
        <w:rPr>
          <w:rFonts w:ascii="Bookman Old Style" w:hAnsi="Bookman Old Style"/>
          <w:i/>
          <w:iCs/>
        </w:rPr>
        <w:t xml:space="preserve">bis. </w:t>
      </w:r>
      <w:r w:rsidRPr="00A20489">
        <w:rPr>
          <w:rFonts w:ascii="Bookman Old Style" w:hAnsi="Bookman Old Style"/>
        </w:rPr>
        <w:t>In occasione di calamità naturali per le quali è dichiarato lo stato di emergenza della durata di almeno tre mesi nel corso dell’anno di riferimento, ai fini della determinazione degli obblighi di accantonamento al fondo di cui al comma 862 gli enti coinvolti possono non considerare le fatture riguardanti le spese direttamente connesse allo stato di emergenza e i relativi importi non sono computati ai fini dell’eventuale calcolo dell’importo da accantonare al predetto fondo.”;</w:t>
      </w:r>
    </w:p>
    <w:p w14:paraId="35E136BC" w14:textId="397A37FE" w:rsidR="009E7174" w:rsidRPr="00A20489" w:rsidRDefault="009E7174" w:rsidP="002F3312">
      <w:pPr>
        <w:pStyle w:val="Paragrafoelenco"/>
        <w:numPr>
          <w:ilvl w:val="0"/>
          <w:numId w:val="16"/>
        </w:numPr>
        <w:spacing w:after="80"/>
        <w:ind w:left="360" w:right="260"/>
        <w:jc w:val="both"/>
        <w:rPr>
          <w:rFonts w:ascii="Bookman Old Style" w:hAnsi="Bookman Old Style"/>
        </w:rPr>
      </w:pPr>
      <w:r w:rsidRPr="00A20489">
        <w:rPr>
          <w:rFonts w:ascii="Bookman Old Style" w:hAnsi="Bookman Old Style"/>
        </w:rPr>
        <w:t>i comuni nei cui territori è stato dichiarato lo stato di emergenza di cui alla delibera del Consiglio dei Ministri del 16 settembre 2022, a seguito degli eventi alluvionali verificatisi nella regione Marche nel mese di settembre 2022, nelle more dell’assegnazione dei contributi previsti a ristoro delle spese sostenute per gli scopi di cui all’articolo 1, comma 2, dell’Ordinanza del Capo Dipartimento della Protezione civile n. 922 del 17 settembre 2022, possono accertare in via convenzionale nel bilancio 2022, anche attraverso variazioni successive al 31 dicembre 2022, i contributi previsti, in misura pari alle spese effettivamente sostenute e in corso di rendicontazione alla data del 31 dicembre 2022, di cui parimenti provvedono all’impegno. Le eventuali difformità tra l’importo dell’accertamento convenzionale e l’importo assegnato a seguito del completamento delle procedure di monitoraggio e di riparto dei fondi disponibili sono oggetto di rettifica delle scritture contabili entro il termine per la deliberazione del rendiconto della gestione 2022. Le variazioni di bilancio conseguenti all’applicazione delle disposizioni di cui ai periodi precedenti possono essere effettuate, in deroga alle norme ordinariamente vigenti, entro il 30 aprile 2023.</w:t>
      </w:r>
      <w:r w:rsidR="00311890">
        <w:rPr>
          <w:rFonts w:ascii="Bookman Old Style" w:hAnsi="Bookman Old Style"/>
        </w:rPr>
        <w:t>”</w:t>
      </w:r>
      <w:r w:rsidRPr="00A20489">
        <w:rPr>
          <w:rFonts w:ascii="Bookman Old Style" w:hAnsi="Bookman Old Style"/>
        </w:rPr>
        <w:t xml:space="preserve"> </w:t>
      </w:r>
    </w:p>
    <w:p w14:paraId="1BFD9DFF" w14:textId="77777777" w:rsidR="009E7174" w:rsidRPr="00A20489" w:rsidRDefault="009E7174" w:rsidP="009E7174">
      <w:pPr>
        <w:spacing w:after="80"/>
        <w:ind w:right="261" w:hanging="11"/>
        <w:jc w:val="center"/>
        <w:rPr>
          <w:rFonts w:ascii="Bookman Old Style" w:hAnsi="Bookman Old Style"/>
          <w:b/>
        </w:rPr>
      </w:pPr>
      <w:r w:rsidRPr="00A20489">
        <w:rPr>
          <w:rFonts w:ascii="Bookman Old Style" w:hAnsi="Bookman Old Style"/>
          <w:b/>
        </w:rPr>
        <w:t>Motivazione</w:t>
      </w:r>
    </w:p>
    <w:p w14:paraId="6BA2EEFD" w14:textId="77777777" w:rsidR="009E7174" w:rsidRPr="00A20489" w:rsidRDefault="009E7174" w:rsidP="009E7174">
      <w:pPr>
        <w:spacing w:after="80"/>
        <w:ind w:right="261" w:hanging="11"/>
        <w:jc w:val="both"/>
        <w:rPr>
          <w:rFonts w:ascii="Bookman Old Style" w:hAnsi="Bookman Old Style" w:cstheme="minorHAnsi"/>
          <w:i/>
          <w:iCs/>
        </w:rPr>
      </w:pPr>
      <w:r w:rsidRPr="00A20489">
        <w:rPr>
          <w:rFonts w:ascii="Bookman Old Style" w:hAnsi="Bookman Old Style" w:cstheme="minorHAnsi"/>
          <w:i/>
          <w:iCs/>
        </w:rPr>
        <w:t xml:space="preserve">Gli eventi calamitosi di natura alluvionale che hanno colpito alcuni Comuni della Regione Marche stanno determinando un grave disagio anche sotto il profilo della gestione tecnico-contabile degli interventi conseguenti che ricadono nella responsabilità dei Comuni. Si rendono pertanto necessarie ulteriori norme di snellimento procedurale e modifica di taluni dispositivi di controllo della spesa. </w:t>
      </w:r>
    </w:p>
    <w:p w14:paraId="64B75851" w14:textId="11780A8C" w:rsidR="009E7174" w:rsidRPr="00A20489" w:rsidRDefault="009E7174" w:rsidP="009E7174">
      <w:pPr>
        <w:spacing w:after="80"/>
        <w:ind w:right="261" w:hanging="11"/>
        <w:jc w:val="both"/>
        <w:rPr>
          <w:rFonts w:ascii="Bookman Old Style" w:hAnsi="Bookman Old Style" w:cstheme="minorHAnsi"/>
          <w:i/>
          <w:iCs/>
        </w:rPr>
      </w:pPr>
      <w:r w:rsidRPr="00A20489">
        <w:rPr>
          <w:rFonts w:ascii="Bookman Old Style" w:hAnsi="Bookman Old Style" w:cstheme="minorHAnsi"/>
          <w:i/>
          <w:iCs/>
        </w:rPr>
        <w:t>Con</w:t>
      </w:r>
      <w:r w:rsidR="000417B5">
        <w:rPr>
          <w:rFonts w:ascii="Bookman Old Style" w:hAnsi="Bookman Old Style" w:cstheme="minorHAnsi"/>
          <w:i/>
          <w:iCs/>
        </w:rPr>
        <w:t xml:space="preserve"> la</w:t>
      </w:r>
      <w:r w:rsidRPr="00A20489">
        <w:rPr>
          <w:rFonts w:ascii="Bookman Old Style" w:hAnsi="Bookman Old Style" w:cstheme="minorHAnsi"/>
          <w:i/>
          <w:iCs/>
        </w:rPr>
        <w:t xml:space="preserve"> </w:t>
      </w:r>
      <w:r w:rsidRPr="00A20489">
        <w:rPr>
          <w:rFonts w:ascii="Bookman Old Style" w:hAnsi="Bookman Old Style" w:cstheme="minorHAnsi"/>
          <w:b/>
          <w:bCs/>
          <w:i/>
          <w:iCs/>
        </w:rPr>
        <w:t>lettera a</w:t>
      </w:r>
      <w:r w:rsidR="00AE5C1E" w:rsidRPr="00A20489">
        <w:rPr>
          <w:rFonts w:ascii="Bookman Old Style" w:hAnsi="Bookman Old Style" w:cstheme="minorHAnsi"/>
          <w:b/>
          <w:bCs/>
          <w:i/>
          <w:iCs/>
        </w:rPr>
        <w:t>)</w:t>
      </w:r>
      <w:r w:rsidRPr="00A20489">
        <w:rPr>
          <w:rFonts w:ascii="Bookman Old Style" w:hAnsi="Bookman Old Style" w:cstheme="minorHAnsi"/>
          <w:b/>
          <w:bCs/>
          <w:i/>
          <w:iCs/>
        </w:rPr>
        <w:t xml:space="preserve"> </w:t>
      </w:r>
      <w:r w:rsidRPr="00A20489">
        <w:rPr>
          <w:rFonts w:ascii="Bookman Old Style" w:hAnsi="Bookman Old Style" w:cstheme="minorHAnsi"/>
          <w:i/>
          <w:iCs/>
        </w:rPr>
        <w:t>si interviene sugli effetti degli incrementi di spesa per fronteggiare eventi che hanno determinato la dichiarazione dello stato di emergenza. Ai fini della valutazione dei ritardi di pagamento l’impiego delle risorse può risultare meno efficiente non per effetto di cattiva gestione ma per le difficoltà connesse ai tempi di erogazione emergenziali, come sta accadendo in questo periodo per i Comuni delle Marche coinvolti negli eventi alluvionali dello scorso mese di settembre. Lo scomputo delle spese per l’emergenza dal calcolo dei ritardi di pagamento e dalla determinazione dell’importo da accantonare al FGDC permette di evitare rischi di aggravio eccessivo e distorsioni nell’applicazione delle norme vigenti. Tali rischi sono particolarmente accentuati per gli enti di minori dimensioni spesso privi di quote di risorse proprie immediatamente spendibili di ammontare adeguato alla gravità degli eventi ed ai conseguenti oneri di ripristino dei luoghi e degli edifici pubblici danneggiati.</w:t>
      </w:r>
    </w:p>
    <w:p w14:paraId="68C417BB" w14:textId="1AD69763" w:rsidR="009E7174" w:rsidRPr="00A20489" w:rsidRDefault="009E7174" w:rsidP="009E7174">
      <w:pPr>
        <w:spacing w:after="80"/>
        <w:ind w:right="261" w:hanging="11"/>
        <w:jc w:val="both"/>
        <w:rPr>
          <w:rFonts w:ascii="Bookman Old Style" w:hAnsi="Bookman Old Style" w:cstheme="minorHAnsi"/>
          <w:i/>
          <w:iCs/>
        </w:rPr>
      </w:pPr>
      <w:r w:rsidRPr="00A20489">
        <w:rPr>
          <w:rFonts w:ascii="Bookman Old Style" w:hAnsi="Bookman Old Style" w:cstheme="minorHAnsi"/>
          <w:i/>
          <w:iCs/>
        </w:rPr>
        <w:t xml:space="preserve">Con la </w:t>
      </w:r>
      <w:r w:rsidRPr="00A20489">
        <w:rPr>
          <w:rFonts w:ascii="Bookman Old Style" w:hAnsi="Bookman Old Style" w:cstheme="minorHAnsi"/>
          <w:b/>
          <w:bCs/>
          <w:i/>
          <w:iCs/>
        </w:rPr>
        <w:t>lettera b)</w:t>
      </w:r>
      <w:r w:rsidRPr="00A20489">
        <w:rPr>
          <w:rFonts w:ascii="Bookman Old Style" w:hAnsi="Bookman Old Style" w:cstheme="minorHAnsi"/>
          <w:i/>
          <w:iCs/>
        </w:rPr>
        <w:t>, con specifico riferimento ai comuni delle Merche colpiti dall’alluvione del 15 settembre si propone la deroga alle norme contabili vigenti con riferimento all’imputazione presuntiva attraverso accertamento convenzionale dei contributi previsti a sostegno dei Comuni coinvolti (ne</w:t>
      </w:r>
      <w:r w:rsidR="00B26AAE" w:rsidRPr="00A20489">
        <w:rPr>
          <w:rFonts w:ascii="Bookman Old Style" w:hAnsi="Bookman Old Style" w:cstheme="minorHAnsi"/>
          <w:i/>
          <w:iCs/>
        </w:rPr>
        <w:t>i</w:t>
      </w:r>
      <w:r w:rsidRPr="00A20489">
        <w:rPr>
          <w:rFonts w:ascii="Bookman Old Style" w:hAnsi="Bookman Old Style" w:cstheme="minorHAnsi"/>
          <w:i/>
          <w:iCs/>
        </w:rPr>
        <w:t xml:space="preserve"> limiti delle spese effettivamente sostenute nel 2022) e alla gestione delle relative spese. La norma si rende necessaria, nell’approssimarsi della chiusura dell’esercizio finanziario, per effetto dei tempi di elaborazione dei monitoraggi delle spese sostenute, già in larga parte elaborati dai Comuni e messi a disposizione del commissario delegato all’emergenza, che potrebbero non concludersi in tempi utili per la corretta trasposizione nei documenti contabili degli enti locali.</w:t>
      </w:r>
    </w:p>
    <w:p w14:paraId="45CF47E3" w14:textId="77777777" w:rsidR="009E7174" w:rsidRPr="00A20489" w:rsidRDefault="009E7174" w:rsidP="009E7174">
      <w:pPr>
        <w:spacing w:after="80"/>
        <w:ind w:right="261" w:hanging="11"/>
        <w:jc w:val="both"/>
        <w:rPr>
          <w:rFonts w:ascii="Bookman Old Style" w:hAnsi="Bookman Old Style" w:cstheme="minorHAnsi"/>
          <w:i/>
          <w:iCs/>
        </w:rPr>
      </w:pPr>
      <w:r w:rsidRPr="00A20489">
        <w:rPr>
          <w:rFonts w:ascii="Bookman Old Style" w:hAnsi="Bookman Old Style" w:cstheme="minorHAnsi"/>
          <w:i/>
          <w:iCs/>
        </w:rPr>
        <w:t>Le norme proposte non comportano alcun aggravio per la finanza pubblica.</w:t>
      </w:r>
    </w:p>
    <w:p w14:paraId="3C0598F8" w14:textId="77777777" w:rsidR="009E7174" w:rsidRPr="00A20489" w:rsidRDefault="009E7174" w:rsidP="009E7174">
      <w:pPr>
        <w:spacing w:after="80"/>
        <w:rPr>
          <w:rFonts w:ascii="Bookman Old Style" w:eastAsiaTheme="majorEastAsia" w:hAnsi="Bookman Old Style" w:cstheme="majorBidi"/>
          <w:b/>
          <w:bCs/>
          <w:color w:val="2F5496" w:themeColor="accent1" w:themeShade="BF"/>
        </w:rPr>
      </w:pPr>
    </w:p>
    <w:p w14:paraId="46FA4C31" w14:textId="1E41BC1D" w:rsidR="00346AB7" w:rsidRPr="00F56158" w:rsidRDefault="00C451CB"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35" w:name="_Toc121214273"/>
      <w:bookmarkEnd w:id="33"/>
      <w:r w:rsidRPr="00F56158">
        <w:rPr>
          <w:rFonts w:ascii="Bookman Old Style" w:hAnsi="Bookman Old Style"/>
          <w:b/>
          <w:bCs/>
          <w:color w:val="2F5496" w:themeColor="accent1" w:themeShade="BF"/>
          <w:sz w:val="22"/>
          <w:szCs w:val="22"/>
        </w:rPr>
        <w:t>Disposizioni in materia di pagamento dei debiti commerciali degli enti locali in considerazione dell’emergenza “caro bollette”</w:t>
      </w:r>
      <w:bookmarkEnd w:id="35"/>
    </w:p>
    <w:p w14:paraId="5E38F055" w14:textId="7B66198B" w:rsidR="002E0809" w:rsidRPr="00A20489" w:rsidRDefault="002E0809" w:rsidP="002E0809">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 xml:space="preserve">Dopo l’art. </w:t>
      </w:r>
      <w:r w:rsidR="00D77E3B" w:rsidRPr="00A20489">
        <w:rPr>
          <w:rFonts w:ascii="Bookman Old Style" w:hAnsi="Bookman Old Style"/>
          <w:i/>
          <w:iCs/>
          <w:sz w:val="22"/>
          <w:szCs w:val="22"/>
        </w:rPr>
        <w:t>5</w:t>
      </w:r>
      <w:r w:rsidRPr="00A20489">
        <w:rPr>
          <w:rFonts w:ascii="Bookman Old Style" w:hAnsi="Bookman Old Style"/>
          <w:i/>
          <w:iCs/>
          <w:sz w:val="22"/>
          <w:szCs w:val="22"/>
        </w:rPr>
        <w:t xml:space="preserve"> aggiungere il seguente art. </w:t>
      </w:r>
      <w:r w:rsidR="00D77E3B" w:rsidRPr="00A20489">
        <w:rPr>
          <w:rFonts w:ascii="Bookman Old Style" w:hAnsi="Bookman Old Style"/>
          <w:i/>
          <w:iCs/>
          <w:sz w:val="22"/>
          <w:szCs w:val="22"/>
        </w:rPr>
        <w:t>5</w:t>
      </w:r>
      <w:r w:rsidRPr="00A20489">
        <w:rPr>
          <w:rFonts w:ascii="Bookman Old Style" w:hAnsi="Bookman Old Style"/>
          <w:i/>
          <w:iCs/>
          <w:sz w:val="22"/>
          <w:szCs w:val="22"/>
        </w:rPr>
        <w:t xml:space="preserve"> bis</w:t>
      </w:r>
    </w:p>
    <w:p w14:paraId="515FB988" w14:textId="13029497" w:rsidR="008724B7" w:rsidRPr="00A20489" w:rsidRDefault="00EC53A7" w:rsidP="005A328D">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 xml:space="preserve">1. </w:t>
      </w:r>
      <w:r w:rsidR="008724B7" w:rsidRPr="00A20489">
        <w:rPr>
          <w:rStyle w:val="normaltextrun"/>
          <w:rFonts w:ascii="Bookman Old Style" w:hAnsi="Bookman Old Style" w:cs="Segoe UI"/>
          <w:sz w:val="22"/>
          <w:szCs w:val="22"/>
        </w:rPr>
        <w:t>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r w:rsidR="008724B7" w:rsidRPr="00A20489">
        <w:rPr>
          <w:rStyle w:val="eop"/>
          <w:rFonts w:ascii="Bookman Old Style" w:hAnsi="Bookman Old Style" w:cs="Segoe UI"/>
          <w:sz w:val="22"/>
          <w:szCs w:val="22"/>
        </w:rPr>
        <w:t> </w:t>
      </w:r>
    </w:p>
    <w:p w14:paraId="605D71AB" w14:textId="10AB7A1E" w:rsidR="008724B7" w:rsidRPr="00A20489" w:rsidRDefault="003D058A" w:rsidP="003D058A">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 xml:space="preserve">2. </w:t>
      </w:r>
      <w:r w:rsidR="008724B7" w:rsidRPr="00A20489">
        <w:rPr>
          <w:rStyle w:val="normaltextrun"/>
          <w:rFonts w:ascii="Bookman Old Style" w:hAnsi="Bookman Old Style" w:cs="Segoe UI"/>
          <w:sz w:val="22"/>
          <w:szCs w:val="22"/>
        </w:rPr>
        <w:t>All’articolo 6, comma 2 del decreto legislativo 9 ottobre 2002, n. 231 dopo le parole “un importo forfettario di 40 euro” e prima delle parole “a titolo di risarcimento del danno” aggiungere le parole “, relativo a tutte le fatture concorrenti all’importo dovuto,”.</w:t>
      </w:r>
      <w:r w:rsidR="008724B7" w:rsidRPr="00A20489">
        <w:rPr>
          <w:rStyle w:val="eop"/>
          <w:rFonts w:ascii="Bookman Old Style" w:hAnsi="Bookman Old Style" w:cs="Segoe UI"/>
          <w:sz w:val="22"/>
          <w:szCs w:val="22"/>
        </w:rPr>
        <w:t> </w:t>
      </w:r>
    </w:p>
    <w:p w14:paraId="244B0D43" w14:textId="77777777" w:rsidR="008724B7" w:rsidRPr="00A20489" w:rsidRDefault="008724B7" w:rsidP="005A328D">
      <w:pPr>
        <w:pStyle w:val="paragraph"/>
        <w:spacing w:before="0" w:beforeAutospacing="0" w:after="80" w:afterAutospacing="0" w:line="259" w:lineRule="auto"/>
        <w:ind w:left="360"/>
        <w:jc w:val="center"/>
        <w:textAlignment w:val="baseline"/>
        <w:rPr>
          <w:rFonts w:ascii="Bookman Old Style" w:hAnsi="Bookman Old Style" w:cs="Segoe UI"/>
          <w:sz w:val="22"/>
          <w:szCs w:val="22"/>
        </w:rPr>
      </w:pPr>
      <w:r w:rsidRPr="00A20489">
        <w:rPr>
          <w:rStyle w:val="normaltextrun"/>
          <w:rFonts w:ascii="Bookman Old Style" w:hAnsi="Bookman Old Style" w:cs="Segoe UI"/>
          <w:b/>
          <w:bCs/>
          <w:sz w:val="22"/>
          <w:szCs w:val="22"/>
        </w:rPr>
        <w:t>Motivazione</w:t>
      </w:r>
      <w:r w:rsidRPr="00A20489">
        <w:rPr>
          <w:rStyle w:val="eop"/>
          <w:rFonts w:ascii="Bookman Old Style" w:hAnsi="Bookman Old Style" w:cs="Segoe UI"/>
          <w:sz w:val="22"/>
          <w:szCs w:val="22"/>
        </w:rPr>
        <w:t> </w:t>
      </w:r>
    </w:p>
    <w:p w14:paraId="72164724" w14:textId="5FEC2747" w:rsidR="008724B7" w:rsidRPr="00A20489" w:rsidRDefault="008724B7" w:rsidP="005A328D">
      <w:pPr>
        <w:pStyle w:val="paragraph"/>
        <w:spacing w:before="0" w:beforeAutospacing="0" w:after="80" w:afterAutospacing="0" w:line="259" w:lineRule="auto"/>
        <w:jc w:val="both"/>
        <w:textAlignment w:val="baseline"/>
        <w:rPr>
          <w:rFonts w:ascii="Bookman Old Style" w:hAnsi="Bookman Old Style" w:cs="Segoe UI"/>
          <w:i/>
          <w:iCs/>
          <w:sz w:val="22"/>
          <w:szCs w:val="22"/>
        </w:rPr>
      </w:pPr>
      <w:r w:rsidRPr="00A20489">
        <w:rPr>
          <w:rStyle w:val="normaltextrun"/>
          <w:rFonts w:ascii="Bookman Old Style" w:hAnsi="Bookman Old Style" w:cs="Segoe UI"/>
          <w:i/>
          <w:iCs/>
          <w:sz w:val="22"/>
          <w:szCs w:val="22"/>
        </w:rPr>
        <w:t>La disciplina concernente la cessione dei crediti nei confronti della pubblica amministrazione ha natura derogatoria e speciale rispetto alla disciplina codicistica della cessione del credito tra privati (artt. 1260 e ss. c.c.). Rispetto alla libera cedibilità del credito di cui all’art. 1260 c.c. ed alla sua opponibilità al debitore ceduto se è stata da quest’ultimo accettata</w:t>
      </w:r>
      <w:r w:rsidR="00733A32" w:rsidRPr="00A20489">
        <w:rPr>
          <w:rStyle w:val="normaltextrun"/>
          <w:rFonts w:ascii="Bookman Old Style" w:hAnsi="Bookman Old Style" w:cs="Segoe UI"/>
          <w:i/>
          <w:iCs/>
          <w:sz w:val="22"/>
          <w:szCs w:val="22"/>
        </w:rPr>
        <w:t>,</w:t>
      </w:r>
      <w:r w:rsidRPr="00A20489">
        <w:rPr>
          <w:rStyle w:val="normaltextrun"/>
          <w:rFonts w:ascii="Bookman Old Style" w:hAnsi="Bookman Old Style" w:cs="Segoe UI"/>
          <w:i/>
          <w:iCs/>
          <w:sz w:val="22"/>
          <w:szCs w:val="22"/>
        </w:rPr>
        <w:t xml:space="preserve"> o anche solo a lui notificata ex art. 1264 c.c., la cessione dei crediti vantati nei confronti della pubblica amministrazione è regolata dal D.Lgs. n.50/2016, art.106, co.13, che prevede che “Ai fini dell'opponibilità alle stazioni appaltanti, le cessioni di crediti devono essere stipulate mediante atto pubblico o scrittura privata autenticata e devono essere notificate alle amministrazioni debitrici. Fatto salvo il rispetto degli obblighi di tracciabilità, le cessioni di crediti da corrispettivo di appalto, concessione, concorso di progettazione, sono efficaci e opponibili alle stazioni appaltanti che sono amministrazioni pubbliche qualora queste non le rifiutino con comunicazione da notificarsi al cedente e al cessionario entro quarantacinque giorni dalla notifica della cessione.”</w:t>
      </w:r>
      <w:r w:rsidRPr="00A20489">
        <w:rPr>
          <w:rStyle w:val="eop"/>
          <w:rFonts w:ascii="Bookman Old Style" w:hAnsi="Bookman Old Style" w:cs="Segoe UI"/>
          <w:i/>
          <w:iCs/>
          <w:sz w:val="22"/>
          <w:szCs w:val="22"/>
        </w:rPr>
        <w:t> </w:t>
      </w:r>
    </w:p>
    <w:p w14:paraId="5BB41AB3" w14:textId="2CC01C0B" w:rsidR="008724B7" w:rsidRPr="00A20489" w:rsidRDefault="008724B7" w:rsidP="005A328D">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 xml:space="preserve">Tale natura derogatoria è stata rimarcata dal </w:t>
      </w:r>
      <w:r w:rsidR="00235A04" w:rsidRPr="00A20489">
        <w:rPr>
          <w:rStyle w:val="normaltextrun"/>
          <w:rFonts w:ascii="Bookman Old Style" w:hAnsi="Bookman Old Style" w:cs="Segoe UI"/>
          <w:i/>
          <w:iCs/>
          <w:sz w:val="22"/>
          <w:szCs w:val="22"/>
        </w:rPr>
        <w:t>l</w:t>
      </w:r>
      <w:r w:rsidRPr="00A20489">
        <w:rPr>
          <w:rStyle w:val="normaltextrun"/>
          <w:rFonts w:ascii="Bookman Old Style" w:hAnsi="Bookman Old Style" w:cs="Segoe UI"/>
          <w:i/>
          <w:iCs/>
          <w:sz w:val="22"/>
          <w:szCs w:val="22"/>
        </w:rPr>
        <w:t>egislatore che,</w:t>
      </w:r>
      <w:r w:rsidRPr="00A20489">
        <w:rPr>
          <w:rStyle w:val="normaltextrun"/>
          <w:rFonts w:ascii="Bookman Old Style" w:hAnsi="Bookman Old Style" w:cs="Segoe UI"/>
          <w:b/>
          <w:bCs/>
          <w:i/>
          <w:iCs/>
          <w:sz w:val="22"/>
          <w:szCs w:val="22"/>
        </w:rPr>
        <w:t xml:space="preserve"> con l’art.117, co.4bis del D.L. n.34/2020, ha eliminato il meccanismo del silenzio-assenso per l’accettazione della cessione del credito vantato nei confronti degli enti sanitari</w:t>
      </w:r>
      <w:r w:rsidRPr="00A20489">
        <w:rPr>
          <w:rStyle w:val="normaltextrun"/>
          <w:rFonts w:ascii="Bookman Old Style" w:hAnsi="Bookman Old Style" w:cs="Segoe UI"/>
          <w:i/>
          <w:iCs/>
          <w:sz w:val="22"/>
          <w:szCs w:val="22"/>
        </w:rPr>
        <w:t xml:space="preserve"> assicurando maggiore razionalità e certezza nella gestione dei rapporti obbligatori qualora l’ente rivesta il ruolo di soggetto passivo.</w:t>
      </w:r>
      <w:r w:rsidRPr="00A20489">
        <w:rPr>
          <w:rStyle w:val="eop"/>
          <w:rFonts w:ascii="Bookman Old Style" w:hAnsi="Bookman Old Style" w:cs="Segoe UI"/>
          <w:sz w:val="22"/>
          <w:szCs w:val="22"/>
        </w:rPr>
        <w:t> </w:t>
      </w:r>
    </w:p>
    <w:p w14:paraId="3C775CC4" w14:textId="665D7F4D" w:rsidR="008724B7" w:rsidRPr="00A20489" w:rsidRDefault="008724B7" w:rsidP="00360943">
      <w:pPr>
        <w:pStyle w:val="paragraph"/>
        <w:shd w:val="clear" w:color="auto" w:fill="FFFFFF"/>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 xml:space="preserve">Si tratta di crediti maturati dalle aziende multiservizi nei confronti degli enti locali a fronte di </w:t>
      </w:r>
      <w:r w:rsidRPr="00A20489">
        <w:rPr>
          <w:rStyle w:val="normaltextrun"/>
          <w:rFonts w:ascii="Bookman Old Style" w:hAnsi="Bookman Old Style" w:cs="Segoe UI"/>
          <w:b/>
          <w:bCs/>
          <w:i/>
          <w:iCs/>
          <w:sz w:val="22"/>
          <w:szCs w:val="22"/>
        </w:rPr>
        <w:t>forniture di energia elettrica o gas</w:t>
      </w:r>
      <w:r w:rsidRPr="00A20489">
        <w:rPr>
          <w:rStyle w:val="normaltextrun"/>
          <w:rFonts w:ascii="Bookman Old Style" w:hAnsi="Bookman Old Style" w:cs="Segoe UI"/>
          <w:i/>
          <w:iCs/>
          <w:sz w:val="22"/>
          <w:szCs w:val="22"/>
        </w:rPr>
        <w:t xml:space="preserve"> e venduti a cessionari del credito. Tale cessione, in alcuni casi, avviene ordinariamente ed indipendentemente dalla tempestività dei pagamenti degli enti debitori.</w:t>
      </w:r>
      <w:r w:rsidR="00901A9A">
        <w:rPr>
          <w:rStyle w:val="normaltextrun"/>
          <w:rFonts w:ascii="Bookman Old Style" w:hAnsi="Bookman Old Style" w:cs="Segoe UI"/>
          <w:i/>
          <w:iCs/>
          <w:sz w:val="22"/>
          <w:szCs w:val="22"/>
        </w:rPr>
        <w:t xml:space="preserve"> </w:t>
      </w:r>
      <w:r w:rsidRPr="00A20489">
        <w:rPr>
          <w:rStyle w:val="normaltextrun"/>
          <w:rFonts w:ascii="Bookman Old Style" w:hAnsi="Bookman Old Style" w:cs="Segoe UI"/>
          <w:i/>
          <w:iCs/>
          <w:sz w:val="22"/>
          <w:szCs w:val="22"/>
        </w:rPr>
        <w:t xml:space="preserve">Vi è oggi la </w:t>
      </w:r>
      <w:r w:rsidRPr="00A20489">
        <w:rPr>
          <w:rStyle w:val="normaltextrun"/>
          <w:rFonts w:ascii="Bookman Old Style" w:hAnsi="Bookman Old Style" w:cs="Segoe UI"/>
          <w:b/>
          <w:bCs/>
          <w:i/>
          <w:iCs/>
          <w:sz w:val="22"/>
          <w:szCs w:val="22"/>
        </w:rPr>
        <w:t>forte esigenza di un analogo intervento legislativo per il caso del debito commerciale degli enti locali</w:t>
      </w:r>
      <w:r w:rsidRPr="00A20489">
        <w:rPr>
          <w:rStyle w:val="normaltextrun"/>
          <w:rFonts w:ascii="Bookman Old Style" w:hAnsi="Bookman Old Style" w:cs="Segoe UI"/>
          <w:i/>
          <w:iCs/>
          <w:sz w:val="22"/>
          <w:szCs w:val="22"/>
        </w:rPr>
        <w:t xml:space="preserve">, anche </w:t>
      </w:r>
      <w:r w:rsidRPr="00A20489">
        <w:rPr>
          <w:rStyle w:val="normaltextrun"/>
          <w:rFonts w:ascii="Bookman Old Style" w:hAnsi="Bookman Old Style" w:cs="Segoe UI"/>
          <w:b/>
          <w:bCs/>
          <w:i/>
          <w:iCs/>
          <w:sz w:val="22"/>
          <w:szCs w:val="22"/>
        </w:rPr>
        <w:t>in considerazione della particolare situazione di emergenza “caro bollette” in corso</w:t>
      </w:r>
      <w:r w:rsidRPr="00A20489">
        <w:rPr>
          <w:rStyle w:val="normaltextrun"/>
          <w:rFonts w:ascii="Bookman Old Style" w:hAnsi="Bookman Old Style" w:cs="Segoe UI"/>
          <w:i/>
          <w:iCs/>
          <w:sz w:val="22"/>
          <w:szCs w:val="22"/>
        </w:rPr>
        <w:t>.</w:t>
      </w:r>
      <w:r w:rsidRPr="00A20489">
        <w:rPr>
          <w:rStyle w:val="eop"/>
          <w:rFonts w:ascii="Bookman Old Style" w:hAnsi="Bookman Old Style" w:cs="Segoe UI"/>
          <w:sz w:val="22"/>
          <w:szCs w:val="22"/>
        </w:rPr>
        <w:t> </w:t>
      </w:r>
    </w:p>
    <w:p w14:paraId="4A2E9C80" w14:textId="1300C9D8" w:rsidR="008724B7" w:rsidRPr="00A20489" w:rsidRDefault="008724B7" w:rsidP="005A328D">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 xml:space="preserve">Si segnala, altresì, </w:t>
      </w:r>
      <w:r w:rsidR="00791464" w:rsidRPr="00A20489">
        <w:rPr>
          <w:rStyle w:val="normaltextrun"/>
          <w:rFonts w:ascii="Bookman Old Style" w:hAnsi="Bookman Old Style" w:cs="Segoe UI"/>
          <w:i/>
          <w:iCs/>
          <w:sz w:val="22"/>
          <w:szCs w:val="22"/>
        </w:rPr>
        <w:t xml:space="preserve">che </w:t>
      </w:r>
      <w:r w:rsidRPr="00A20489">
        <w:rPr>
          <w:rStyle w:val="normaltextrun"/>
          <w:rFonts w:ascii="Bookman Old Style" w:hAnsi="Bookman Old Style" w:cs="Segoe UI"/>
          <w:i/>
          <w:iCs/>
          <w:sz w:val="22"/>
          <w:szCs w:val="22"/>
        </w:rPr>
        <w:t xml:space="preserve">i fornitori di energia e gas </w:t>
      </w:r>
      <w:r w:rsidR="00791464" w:rsidRPr="00A20489">
        <w:rPr>
          <w:rStyle w:val="normaltextrun"/>
          <w:rFonts w:ascii="Bookman Old Style" w:hAnsi="Bookman Old Style" w:cs="Segoe UI"/>
          <w:i/>
          <w:iCs/>
          <w:sz w:val="22"/>
          <w:szCs w:val="22"/>
        </w:rPr>
        <w:t xml:space="preserve">adottano </w:t>
      </w:r>
      <w:r w:rsidRPr="00A20489">
        <w:rPr>
          <w:rStyle w:val="normaltextrun"/>
          <w:rFonts w:ascii="Bookman Old Style" w:hAnsi="Bookman Old Style" w:cs="Segoe UI"/>
          <w:i/>
          <w:iCs/>
          <w:sz w:val="22"/>
          <w:szCs w:val="22"/>
        </w:rPr>
        <w:t xml:space="preserve">una modalità di fatturazione frammentata (una fattura per ciascun punto di prelievo) con conseguente difficoltà di tenuta contabile per gli Enti, che ricevono </w:t>
      </w:r>
      <w:r w:rsidR="005808A6" w:rsidRPr="00A20489">
        <w:rPr>
          <w:rStyle w:val="normaltextrun"/>
          <w:rFonts w:ascii="Bookman Old Style" w:hAnsi="Bookman Old Style" w:cs="Segoe UI"/>
          <w:i/>
          <w:iCs/>
          <w:sz w:val="22"/>
          <w:szCs w:val="22"/>
        </w:rPr>
        <w:t xml:space="preserve">numerosissime </w:t>
      </w:r>
      <w:r w:rsidRPr="00A20489">
        <w:rPr>
          <w:rStyle w:val="normaltextrun"/>
          <w:rFonts w:ascii="Bookman Old Style" w:hAnsi="Bookman Old Style" w:cs="Segoe UI"/>
          <w:i/>
          <w:iCs/>
          <w:sz w:val="22"/>
          <w:szCs w:val="22"/>
        </w:rPr>
        <w:t xml:space="preserve">fatture ogni mese, nonché per i fornitori stessi specie nella prospettiva di cessione delle fatture al factor. In conseguenza di tale pratica, si assiste oggi ad un </w:t>
      </w:r>
      <w:r w:rsidRPr="00A20489">
        <w:rPr>
          <w:rStyle w:val="normaltextrun"/>
          <w:rFonts w:ascii="Bookman Old Style" w:hAnsi="Bookman Old Style" w:cs="Segoe UI"/>
          <w:b/>
          <w:bCs/>
          <w:i/>
          <w:iCs/>
          <w:sz w:val="22"/>
          <w:szCs w:val="22"/>
        </w:rPr>
        <w:t xml:space="preserve">marcato innalzamento del livello di contenzioso fra amministrazione pubblica, fornitore e cessionario </w:t>
      </w:r>
      <w:r w:rsidRPr="00A20489">
        <w:rPr>
          <w:rStyle w:val="normaltextrun"/>
          <w:rFonts w:ascii="Bookman Old Style" w:hAnsi="Bookman Old Style" w:cs="Segoe UI"/>
          <w:i/>
          <w:iCs/>
          <w:sz w:val="22"/>
          <w:szCs w:val="22"/>
        </w:rPr>
        <w:t>nei casi, non isolati, in cui il cessionario abbia acquistato come credito un debito della PA inesistente perché composto di fatture già pagate o per le quali la PA abbia tempestivamente opposto rifiuto alla cessione.</w:t>
      </w:r>
      <w:r w:rsidRPr="00A20489">
        <w:rPr>
          <w:rStyle w:val="eop"/>
          <w:rFonts w:ascii="Bookman Old Style" w:hAnsi="Bookman Old Style" w:cs="Segoe UI"/>
          <w:sz w:val="22"/>
          <w:szCs w:val="22"/>
        </w:rPr>
        <w:t> </w:t>
      </w:r>
    </w:p>
    <w:p w14:paraId="432719FA" w14:textId="42BF684D" w:rsidR="008724B7" w:rsidRPr="00A20489" w:rsidRDefault="008724B7" w:rsidP="005A328D">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Si evidenzia, inoltre, l’esistenza di casi di richieste di pagamento, ordinarie e perfino ingiunte con decreto, di importi corrispondenti a note di credito, e cioè, a crediti vantati dalla PA nei confronti del fornitore.</w:t>
      </w:r>
      <w:r w:rsidR="00901A9A">
        <w:rPr>
          <w:rStyle w:val="normaltextrun"/>
          <w:rFonts w:ascii="Bookman Old Style" w:hAnsi="Bookman Old Style" w:cs="Segoe UI"/>
          <w:i/>
          <w:iCs/>
          <w:sz w:val="22"/>
          <w:szCs w:val="22"/>
        </w:rPr>
        <w:t xml:space="preserve"> </w:t>
      </w:r>
      <w:r w:rsidR="006F5933" w:rsidRPr="00A20489">
        <w:rPr>
          <w:rStyle w:val="normaltextrun"/>
          <w:rFonts w:ascii="Bookman Old Style" w:hAnsi="Bookman Old Style" w:cs="Segoe UI"/>
          <w:i/>
          <w:iCs/>
          <w:sz w:val="22"/>
          <w:szCs w:val="22"/>
        </w:rPr>
        <w:t>S</w:t>
      </w:r>
      <w:r w:rsidRPr="00A20489">
        <w:rPr>
          <w:rStyle w:val="normaltextrun"/>
          <w:rFonts w:ascii="Bookman Old Style" w:hAnsi="Bookman Old Style" w:cs="Segoe UI"/>
          <w:i/>
          <w:iCs/>
          <w:sz w:val="22"/>
          <w:szCs w:val="22"/>
        </w:rPr>
        <w:t>i sottolinea, infine, che tale fenomeno, non riconducibile a casi applicativi isolati, sposta, nei fatti, in capo all’ente l’onere</w:t>
      </w:r>
      <w:r w:rsidR="00901A9A">
        <w:rPr>
          <w:rStyle w:val="normaltextrun"/>
          <w:rFonts w:ascii="Bookman Old Style" w:hAnsi="Bookman Old Style" w:cs="Segoe UI"/>
          <w:i/>
          <w:iCs/>
          <w:sz w:val="22"/>
          <w:szCs w:val="22"/>
        </w:rPr>
        <w:t xml:space="preserve"> </w:t>
      </w:r>
      <w:r w:rsidRPr="00A20489">
        <w:rPr>
          <w:rStyle w:val="normaltextrun"/>
          <w:rFonts w:ascii="Bookman Old Style" w:hAnsi="Bookman Old Style" w:cs="Segoe UI"/>
          <w:i/>
          <w:iCs/>
          <w:sz w:val="22"/>
          <w:szCs w:val="22"/>
        </w:rPr>
        <w:t xml:space="preserve">di dovere dimostrare, anche in sede giudiziaria, l’insussistenza del credito ceduto dal fornitore e poi preteso dal factor, con effetti vistosi di riduzione dell’ordinaria capacità tecnico-amministrativa degli uffici comunali e diventa </w:t>
      </w:r>
      <w:r w:rsidRPr="00A20489">
        <w:rPr>
          <w:rStyle w:val="normaltextrun"/>
          <w:rFonts w:ascii="Bookman Old Style" w:hAnsi="Bookman Old Style" w:cs="Segoe UI"/>
          <w:b/>
          <w:bCs/>
          <w:i/>
          <w:iCs/>
          <w:sz w:val="22"/>
          <w:szCs w:val="22"/>
        </w:rPr>
        <w:t>oggi insostenibile a causa dell’emergenza “caro bollette”</w:t>
      </w:r>
      <w:r w:rsidRPr="00A20489">
        <w:rPr>
          <w:rStyle w:val="normaltextrun"/>
          <w:rFonts w:ascii="Bookman Old Style" w:hAnsi="Bookman Old Style" w:cs="Segoe UI"/>
          <w:i/>
          <w:iCs/>
          <w:sz w:val="22"/>
          <w:szCs w:val="22"/>
        </w:rPr>
        <w:t>.</w:t>
      </w:r>
      <w:r w:rsidRPr="00A20489">
        <w:rPr>
          <w:rStyle w:val="eop"/>
          <w:rFonts w:ascii="Bookman Old Style" w:hAnsi="Bookman Old Style" w:cs="Segoe UI"/>
          <w:sz w:val="22"/>
          <w:szCs w:val="22"/>
        </w:rPr>
        <w:t> </w:t>
      </w:r>
    </w:p>
    <w:p w14:paraId="4E1C55C6" w14:textId="646D8F28" w:rsidR="008724B7" w:rsidRPr="00A20489" w:rsidRDefault="008724B7" w:rsidP="005A328D">
      <w:pPr>
        <w:pStyle w:val="paragraph"/>
        <w:shd w:val="clear" w:color="auto" w:fill="FFFFFF"/>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 xml:space="preserve">Il </w:t>
      </w:r>
      <w:r w:rsidR="00DD35E6" w:rsidRPr="00A20489">
        <w:rPr>
          <w:rStyle w:val="normaltextrun"/>
          <w:rFonts w:ascii="Bookman Old Style" w:hAnsi="Bookman Old Style" w:cs="Segoe UI"/>
          <w:b/>
          <w:bCs/>
          <w:i/>
          <w:iCs/>
          <w:sz w:val="22"/>
          <w:szCs w:val="22"/>
        </w:rPr>
        <w:t>comma 2</w:t>
      </w:r>
      <w:r w:rsidRPr="00A20489">
        <w:rPr>
          <w:rStyle w:val="normaltextrun"/>
          <w:rFonts w:ascii="Bookman Old Style" w:hAnsi="Bookman Old Style" w:cs="Segoe UI"/>
          <w:i/>
          <w:iCs/>
          <w:sz w:val="22"/>
          <w:szCs w:val="22"/>
        </w:rPr>
        <w:t>, infine, interviene sul d.lgs. n. 231 del 2002 che prevede che nei casi di ritardato pagamento nelle transazioni commerciali spetti al creditore, oltre alla corresponsione degli interessi moratori e al rimborso dei costi sostenuti per il recupero delle somme non tempestivamente corrisposte, anche un importo forfettario di 40 euro a titolo di risarcimento del danno.</w:t>
      </w:r>
      <w:r w:rsidRPr="00A20489">
        <w:rPr>
          <w:rStyle w:val="normaltextrun"/>
          <w:rFonts w:ascii="Bookman Old Style" w:hAnsi="Bookman Old Style" w:cs="Segoe UI"/>
          <w:b/>
          <w:bCs/>
          <w:i/>
          <w:iCs/>
          <w:sz w:val="22"/>
          <w:szCs w:val="22"/>
        </w:rPr>
        <w:t xml:space="preserve"> Al fine di evitare distorsioni applicative della norma, appare necessaria la precisazione che l'importo, già definito “forfettario” dal Legislatore, non è riferito alla singola fattura, ma alla procedura di recupero complessivamente intesa, qualora siano azionate contestualmente più fatture</w:t>
      </w:r>
      <w:r w:rsidRPr="00A20489">
        <w:rPr>
          <w:rStyle w:val="normaltextrun"/>
          <w:rFonts w:ascii="Bookman Old Style" w:hAnsi="Bookman Old Style" w:cs="Segoe UI"/>
          <w:i/>
          <w:iCs/>
          <w:sz w:val="22"/>
          <w:szCs w:val="22"/>
        </w:rPr>
        <w:t>.</w:t>
      </w:r>
      <w:r w:rsidRPr="00A20489">
        <w:rPr>
          <w:rStyle w:val="eop"/>
          <w:rFonts w:ascii="Bookman Old Style" w:hAnsi="Bookman Old Style" w:cs="Segoe UI"/>
          <w:sz w:val="22"/>
          <w:szCs w:val="22"/>
        </w:rPr>
        <w:t> </w:t>
      </w:r>
    </w:p>
    <w:p w14:paraId="0AEFDEB3" w14:textId="2E876078" w:rsidR="004777C8" w:rsidRPr="00A20489" w:rsidRDefault="008724B7" w:rsidP="002350B2">
      <w:pPr>
        <w:pStyle w:val="paragraph"/>
        <w:spacing w:before="0" w:beforeAutospacing="0" w:after="80" w:afterAutospacing="0" w:line="259" w:lineRule="auto"/>
        <w:jc w:val="both"/>
        <w:textAlignment w:val="baseline"/>
        <w:rPr>
          <w:rFonts w:ascii="Bookman Old Style" w:eastAsiaTheme="majorEastAsia" w:hAnsi="Bookman Old Style" w:cstheme="majorBidi"/>
          <w:b/>
          <w:bCs/>
          <w:color w:val="2F5496" w:themeColor="accent1" w:themeShade="BF"/>
        </w:rPr>
      </w:pPr>
      <w:r w:rsidRPr="00A20489">
        <w:rPr>
          <w:rStyle w:val="eop"/>
          <w:rFonts w:ascii="Bookman Old Style" w:hAnsi="Bookman Old Style" w:cs="Segoe UI"/>
          <w:sz w:val="22"/>
          <w:szCs w:val="22"/>
        </w:rPr>
        <w:t> </w:t>
      </w:r>
    </w:p>
    <w:p w14:paraId="2592EF42" w14:textId="129E6775" w:rsidR="00A304F1" w:rsidRPr="00F56158" w:rsidRDefault="00A304F1"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36" w:name="_Toc121214274"/>
      <w:r w:rsidRPr="00F56158">
        <w:rPr>
          <w:rFonts w:ascii="Bookman Old Style" w:hAnsi="Bookman Old Style"/>
          <w:b/>
          <w:bCs/>
          <w:color w:val="2F5496" w:themeColor="accent1" w:themeShade="BF"/>
          <w:sz w:val="22"/>
          <w:szCs w:val="22"/>
        </w:rPr>
        <w:t>Sospensione quota capitale mutui MEF per il 2023</w:t>
      </w:r>
      <w:bookmarkEnd w:id="36"/>
      <w:r w:rsidR="007A146B" w:rsidRPr="00F56158">
        <w:rPr>
          <w:rFonts w:ascii="Bookman Old Style" w:hAnsi="Bookman Old Style"/>
          <w:b/>
          <w:bCs/>
          <w:color w:val="2F5496" w:themeColor="accent1" w:themeShade="BF"/>
          <w:sz w:val="22"/>
          <w:szCs w:val="22"/>
        </w:rPr>
        <w:t xml:space="preserve"> </w:t>
      </w:r>
    </w:p>
    <w:p w14:paraId="248996D3" w14:textId="4C9C1428" w:rsidR="000402CD" w:rsidRDefault="000402CD" w:rsidP="000402CD">
      <w:pPr>
        <w:pStyle w:val="PreformattatoHTML"/>
        <w:shd w:val="clear" w:color="auto" w:fill="FFFFFF"/>
        <w:spacing w:after="80" w:line="259" w:lineRule="auto"/>
        <w:jc w:val="both"/>
        <w:rPr>
          <w:rFonts w:ascii="Bookman Old Style" w:hAnsi="Bookman Old Style"/>
          <w:i/>
          <w:iCs/>
          <w:sz w:val="22"/>
          <w:szCs w:val="22"/>
        </w:rPr>
      </w:pPr>
      <w:bookmarkStart w:id="37" w:name="_Hlk120713501"/>
      <w:r w:rsidRPr="00A20489">
        <w:rPr>
          <w:rFonts w:ascii="Bookman Old Style" w:hAnsi="Bookman Old Style"/>
          <w:i/>
          <w:iCs/>
          <w:sz w:val="22"/>
          <w:szCs w:val="22"/>
        </w:rPr>
        <w:t>Dopo l’art. 146 aggiungere il seguente art. 146</w:t>
      </w:r>
      <w:r w:rsidR="00275749">
        <w:rPr>
          <w:rFonts w:ascii="Bookman Old Style" w:hAnsi="Bookman Old Style"/>
          <w:i/>
          <w:iCs/>
          <w:sz w:val="22"/>
          <w:szCs w:val="22"/>
        </w:rPr>
        <w:t>-</w:t>
      </w:r>
      <w:r w:rsidRPr="00A20489">
        <w:rPr>
          <w:rFonts w:ascii="Bookman Old Style" w:hAnsi="Bookman Old Style"/>
          <w:i/>
          <w:iCs/>
          <w:sz w:val="22"/>
          <w:szCs w:val="22"/>
        </w:rPr>
        <w:t>bis</w:t>
      </w:r>
    </w:p>
    <w:p w14:paraId="5DB84191" w14:textId="36FF0763" w:rsidR="001A0DE9" w:rsidRPr="00A20489" w:rsidRDefault="001A0DE9" w:rsidP="000402CD">
      <w:pPr>
        <w:pStyle w:val="PreformattatoHTML"/>
        <w:shd w:val="clear" w:color="auto" w:fill="FFFFFF"/>
        <w:spacing w:after="80" w:line="259" w:lineRule="auto"/>
        <w:jc w:val="both"/>
        <w:rPr>
          <w:rFonts w:ascii="Bookman Old Style" w:hAnsi="Bookman Old Style"/>
          <w:i/>
          <w:iCs/>
          <w:sz w:val="22"/>
          <w:szCs w:val="22"/>
        </w:rPr>
      </w:pPr>
      <w:r>
        <w:rPr>
          <w:rFonts w:ascii="Bookman Old Style" w:hAnsi="Bookman Old Style"/>
          <w:i/>
          <w:iCs/>
          <w:sz w:val="22"/>
          <w:szCs w:val="22"/>
        </w:rPr>
        <w:t>Art. 146-bis</w:t>
      </w:r>
      <w:r w:rsidR="006B0DAD">
        <w:rPr>
          <w:rFonts w:ascii="Bookman Old Style" w:hAnsi="Bookman Old Style"/>
          <w:i/>
          <w:iCs/>
          <w:sz w:val="22"/>
          <w:szCs w:val="22"/>
        </w:rPr>
        <w:t xml:space="preserve"> (Sospensione rimborso quote capitale mutui in scadenza nel 2023)</w:t>
      </w:r>
    </w:p>
    <w:bookmarkEnd w:id="37"/>
    <w:p w14:paraId="10F17612" w14:textId="02956755" w:rsidR="00A304F1" w:rsidRPr="00A20489" w:rsidRDefault="00A304F1" w:rsidP="002F3312">
      <w:pPr>
        <w:pStyle w:val="Paragrafoelenco"/>
        <w:numPr>
          <w:ilvl w:val="0"/>
          <w:numId w:val="1"/>
        </w:numPr>
        <w:spacing w:after="80"/>
        <w:ind w:left="0" w:firstLine="0"/>
        <w:contextualSpacing w:val="0"/>
        <w:jc w:val="both"/>
        <w:rPr>
          <w:rFonts w:ascii="Bookman Old Style" w:eastAsia="Bookman Old Style" w:hAnsi="Bookman Old Style" w:cs="Bookman Old Style"/>
        </w:rPr>
      </w:pPr>
      <w:r w:rsidRPr="00A20489">
        <w:rPr>
          <w:rFonts w:ascii="Bookman Old Style" w:eastAsia="Bookman Old Style" w:hAnsi="Bookman Old Style" w:cs="Bookman Old Style"/>
        </w:rPr>
        <w:t>Il pagamento delle quote capitale in scadenza nell’anno 202</w:t>
      </w:r>
      <w:r w:rsidR="00F8405D" w:rsidRPr="00A20489">
        <w:rPr>
          <w:rFonts w:ascii="Bookman Old Style" w:eastAsia="Bookman Old Style" w:hAnsi="Bookman Old Style" w:cs="Bookman Old Style"/>
        </w:rPr>
        <w:t>3</w:t>
      </w:r>
      <w:r w:rsidRPr="00A20489">
        <w:rPr>
          <w:rFonts w:ascii="Bookman Old Style" w:eastAsia="Bookman Old Style" w:hAnsi="Bookman Old Style" w:cs="Bookman Old Style"/>
        </w:rPr>
        <w:t xml:space="preserve"> dei mutui concessi dalla Cassa depositi e prestiti S.p.a. agli enti locali, trasferiti al Ministero dell'economia e delle finanze in attuazione dell'articolo 5, commi 1 e 3, del decreto-legge 30 settembre 2003, n. 269, convertito, con modificazioni, dalla legge 24 novembre 2003, n. 326, è differito, senza applicazione di sanzioni e interessi, al primo anno immediatamente successiv</w:t>
      </w:r>
      <w:r w:rsidR="00D1653B" w:rsidRPr="00A20489">
        <w:rPr>
          <w:rFonts w:ascii="Bookman Old Style" w:eastAsia="Bookman Old Style" w:hAnsi="Bookman Old Style" w:cs="Bookman Old Style"/>
        </w:rPr>
        <w:t>o</w:t>
      </w:r>
      <w:r w:rsidRPr="00A20489">
        <w:rPr>
          <w:rFonts w:ascii="Bookman Old Style" w:eastAsia="Bookman Old Style" w:hAnsi="Bookman Old Style" w:cs="Bookman Old Style"/>
        </w:rPr>
        <w:t xml:space="preserve"> alla data di scadenza del piano di ammortamento contrattuale, sulla base della periodicità di pagamento attualmente prevista nei provvedimenti e nei contratti regolanti i mutui stessi.</w:t>
      </w:r>
    </w:p>
    <w:p w14:paraId="1A4B41C5" w14:textId="77777777" w:rsidR="00A304F1" w:rsidRPr="00A20489" w:rsidRDefault="00A304F1" w:rsidP="002F3312">
      <w:pPr>
        <w:pStyle w:val="Paragrafoelenco"/>
        <w:numPr>
          <w:ilvl w:val="0"/>
          <w:numId w:val="1"/>
        </w:numPr>
        <w:spacing w:after="80"/>
        <w:ind w:left="0" w:firstLine="0"/>
        <w:contextualSpacing w:val="0"/>
        <w:jc w:val="both"/>
        <w:rPr>
          <w:rFonts w:ascii="Bookman Old Style" w:eastAsia="Bookman Old Style" w:hAnsi="Bookman Old Style" w:cs="Bookman Old Style"/>
        </w:rPr>
      </w:pPr>
      <w:r w:rsidRPr="00A20489">
        <w:rPr>
          <w:rFonts w:ascii="Bookman Old Style" w:eastAsia="Bookman Old Style" w:hAnsi="Bookman Old Style" w:cs="Bookman Old Style"/>
        </w:rPr>
        <w:t>Il risparmio di spesa di cui al comma 1 è utilizzato per il finanziamento delle maggiori spese connesse all’incremento dei costi delle utenze per energia elettrica e gas. I risparmi derivanti dall’applicazione dell’art. 112, comma 1, del decreto-legge 17 marzo 2020, n. 18, convertito con modificazioni dalla legge 24 aprile 2020, n. 27, eventualmente confluiti nella quota vincolata del risultato di amministrazione risultante al 31 dicembre 2022 possono essere utilizzati per finanziare la maggiori spese dovute all’incremento dei costi delle utenze per energia elettrica e gas.</w:t>
      </w:r>
    </w:p>
    <w:p w14:paraId="020507DC" w14:textId="77777777" w:rsidR="00576088" w:rsidRPr="00A20489" w:rsidRDefault="00A304F1" w:rsidP="002F3312">
      <w:pPr>
        <w:pStyle w:val="Paragrafoelenco"/>
        <w:numPr>
          <w:ilvl w:val="0"/>
          <w:numId w:val="1"/>
        </w:numPr>
        <w:spacing w:after="80"/>
        <w:ind w:left="0" w:firstLine="0"/>
        <w:contextualSpacing w:val="0"/>
        <w:jc w:val="both"/>
        <w:rPr>
          <w:rFonts w:ascii="Bookman Old Style" w:eastAsia="Bookman Old Style" w:hAnsi="Bookman Old Style" w:cs="Bookman Old Style"/>
        </w:rPr>
      </w:pPr>
      <w:r w:rsidRPr="00A20489">
        <w:rPr>
          <w:rFonts w:ascii="Bookman Old Style" w:eastAsia="Bookman Old Style" w:hAnsi="Bookman Old Style" w:cs="Bookman Old Style"/>
        </w:rPr>
        <w:t>La sospensione di cui al comma 1 non si applica alle anticipazioni di liquidità di cui all’art. 1, comma 10, del decreto-legge 8 aprile 2013, n. 35, convertito, con modificazioni, dalla legge 6 giugno 2013, n. 64, e successivi rifinanziamenti, nonché ai mutui che hanno beneficiato di differimenti di pagamento delle rate di ammortamento in scadenza nel 2022, autorizzati dalla normativa applicabile agli enti locali i cui territori sono stati colpiti da eventi sismici.</w:t>
      </w:r>
    </w:p>
    <w:p w14:paraId="72DF7F4B" w14:textId="151352ED" w:rsidR="00A304F1" w:rsidRPr="00A20489" w:rsidRDefault="00A304F1" w:rsidP="002F3312">
      <w:pPr>
        <w:pStyle w:val="Paragrafoelenco"/>
        <w:numPr>
          <w:ilvl w:val="0"/>
          <w:numId w:val="1"/>
        </w:numPr>
        <w:spacing w:after="80"/>
        <w:ind w:left="0" w:firstLine="0"/>
        <w:contextualSpacing w:val="0"/>
        <w:jc w:val="both"/>
        <w:rPr>
          <w:rFonts w:ascii="Bookman Old Style" w:eastAsia="Bookman Old Style" w:hAnsi="Bookman Old Style" w:cs="Bookman Old Style"/>
        </w:rPr>
      </w:pPr>
      <w:r w:rsidRPr="00A20489">
        <w:rPr>
          <w:rFonts w:ascii="Bookman Old Style" w:eastAsia="Bookman Old Style" w:hAnsi="Bookman Old Style" w:cs="Bookman Old Style"/>
        </w:rPr>
        <w:t xml:space="preserve">Agli oneri derivanti dal comma 1, pari a euro 260 milioni di euro per l’anno 2023 </w:t>
      </w:r>
      <w:r w:rsidR="00576088" w:rsidRPr="00A20489">
        <w:rPr>
          <w:rFonts w:ascii="Bookman Old Style" w:hAnsi="Bookman Old Style" w:cs="TimesNewRomanPSMT"/>
        </w:rPr>
        <w:t>mediante corrispondente riduzione</w:t>
      </w:r>
      <w:r w:rsidR="006B0DAD">
        <w:rPr>
          <w:rFonts w:ascii="Bookman Old Style" w:hAnsi="Bookman Old Style" w:cs="TimesNewRomanPSMT"/>
        </w:rPr>
        <w:t xml:space="preserve"> del fondo di cui al comma 4 dell’articolo 152.</w:t>
      </w:r>
    </w:p>
    <w:p w14:paraId="7BCB350A" w14:textId="77777777" w:rsidR="00A304F1" w:rsidRPr="00A20489" w:rsidRDefault="00A304F1" w:rsidP="00301BCF">
      <w:pPr>
        <w:spacing w:after="80"/>
        <w:jc w:val="center"/>
        <w:rPr>
          <w:rFonts w:ascii="Bookman Old Style" w:eastAsia="Bookman Old Style" w:hAnsi="Bookman Old Style" w:cs="Bookman Old Style"/>
          <w:b/>
          <w:bCs/>
        </w:rPr>
      </w:pPr>
      <w:r w:rsidRPr="00A20489">
        <w:rPr>
          <w:rFonts w:ascii="Bookman Old Style" w:eastAsia="Bookman Old Style" w:hAnsi="Bookman Old Style" w:cs="Bookman Old Style"/>
          <w:b/>
          <w:bCs/>
        </w:rPr>
        <w:t>Motivazione</w:t>
      </w:r>
    </w:p>
    <w:p w14:paraId="3DBEC542" w14:textId="77777777" w:rsidR="00A304F1" w:rsidRPr="00A20489" w:rsidRDefault="00A304F1" w:rsidP="00301BCF">
      <w:pPr>
        <w:spacing w:after="80"/>
        <w:jc w:val="both"/>
        <w:rPr>
          <w:rFonts w:ascii="Bookman Old Style" w:eastAsia="Bookman Old Style" w:hAnsi="Bookman Old Style" w:cs="Bookman Old Style"/>
          <w:i/>
          <w:iCs/>
        </w:rPr>
      </w:pPr>
      <w:r w:rsidRPr="00A20489">
        <w:rPr>
          <w:rFonts w:ascii="Bookman Old Style" w:eastAsia="Bookman Old Style" w:hAnsi="Bookman Old Style" w:cs="Bookman Old Style"/>
          <w:i/>
          <w:iCs/>
        </w:rPr>
        <w:t xml:space="preserve">La misura proposta determina la sospensione del pagamento della quota capitale dei cd “mutui MEF” (la parte dei mutui gestiti dalla Cassa Depositi e Prestiti che conserva la titolarità del Mef), con conseguente alleggerimento degli oneri di restituzione del debito e facilitazione del mantenimento degli equilibri di parte corrente degli enti locali. </w:t>
      </w:r>
    </w:p>
    <w:p w14:paraId="5AA252DC" w14:textId="13E5E9D7" w:rsidR="00A304F1" w:rsidRPr="00A20489" w:rsidRDefault="00A304F1" w:rsidP="00301BCF">
      <w:pPr>
        <w:spacing w:after="80"/>
        <w:jc w:val="both"/>
        <w:rPr>
          <w:rFonts w:ascii="Bookman Old Style" w:eastAsia="Bookman Old Style" w:hAnsi="Bookman Old Style" w:cs="Bookman Old Style"/>
          <w:i/>
          <w:iCs/>
        </w:rPr>
      </w:pPr>
      <w:r w:rsidRPr="00A20489">
        <w:rPr>
          <w:rFonts w:ascii="Bookman Old Style" w:eastAsia="Bookman Old Style" w:hAnsi="Bookman Old Style" w:cs="Bookman Old Style"/>
          <w:i/>
          <w:iCs/>
        </w:rPr>
        <w:t>In particolare, (</w:t>
      </w:r>
      <w:r w:rsidRPr="00A20489">
        <w:rPr>
          <w:rFonts w:ascii="Bookman Old Style" w:eastAsia="Bookman Old Style" w:hAnsi="Bookman Old Style" w:cs="Bookman Old Style"/>
          <w:b/>
          <w:bCs/>
          <w:i/>
          <w:iCs/>
        </w:rPr>
        <w:t>comma 1</w:t>
      </w:r>
      <w:r w:rsidRPr="00A20489">
        <w:rPr>
          <w:rFonts w:ascii="Bookman Old Style" w:eastAsia="Bookman Old Style" w:hAnsi="Bookman Old Style" w:cs="Bookman Old Style"/>
          <w:i/>
          <w:iCs/>
        </w:rPr>
        <w:t xml:space="preserve">) viene replicato il dispositivo già utilizzato in occasione dell’emergenza epidemiologica da Covid-19 che prevede il </w:t>
      </w:r>
      <w:r w:rsidRPr="00A20489">
        <w:rPr>
          <w:rFonts w:ascii="Bookman Old Style" w:eastAsia="Bookman Old Style" w:hAnsi="Bookman Old Style" w:cs="Bookman Old Style"/>
          <w:b/>
          <w:bCs/>
          <w:i/>
          <w:iCs/>
        </w:rPr>
        <w:t>posticipo del pagamento della quota capitale delle rate dei c.d “Mutui Mef”</w:t>
      </w:r>
      <w:r w:rsidRPr="00A20489">
        <w:rPr>
          <w:rFonts w:ascii="Bookman Old Style" w:eastAsia="Bookman Old Style" w:hAnsi="Bookman Old Style" w:cs="Bookman Old Style"/>
          <w:i/>
          <w:iCs/>
        </w:rPr>
        <w:t xml:space="preserve">, in scadenza nel 2023, alla fine del periodo di ammortamento. </w:t>
      </w:r>
    </w:p>
    <w:p w14:paraId="2051B29E" w14:textId="77777777" w:rsidR="00A304F1" w:rsidRPr="00A20489" w:rsidRDefault="00A304F1" w:rsidP="00301BCF">
      <w:pPr>
        <w:spacing w:after="80"/>
        <w:jc w:val="both"/>
        <w:rPr>
          <w:rFonts w:ascii="Bookman Old Style" w:eastAsia="Bookman Old Style" w:hAnsi="Bookman Old Style" w:cs="Bookman Old Style"/>
          <w:i/>
          <w:iCs/>
        </w:rPr>
      </w:pPr>
      <w:r w:rsidRPr="00A20489">
        <w:rPr>
          <w:rFonts w:ascii="Bookman Old Style" w:eastAsia="Bookman Old Style" w:hAnsi="Bookman Old Style" w:cs="Bookman Old Style"/>
          <w:i/>
          <w:iCs/>
        </w:rPr>
        <w:t xml:space="preserve">Il </w:t>
      </w:r>
      <w:r w:rsidRPr="00A20489">
        <w:rPr>
          <w:rFonts w:ascii="Bookman Old Style" w:eastAsia="Bookman Old Style" w:hAnsi="Bookman Old Style" w:cs="Bookman Old Style"/>
          <w:b/>
          <w:bCs/>
          <w:i/>
          <w:iCs/>
        </w:rPr>
        <w:t>comma 2</w:t>
      </w:r>
      <w:r w:rsidRPr="00A20489">
        <w:rPr>
          <w:rFonts w:ascii="Bookman Old Style" w:eastAsia="Bookman Old Style" w:hAnsi="Bookman Old Style" w:cs="Bookman Old Style"/>
          <w:i/>
          <w:iCs/>
        </w:rPr>
        <w:t xml:space="preserve"> vincola l’utilizzo dei risparmi agli interventi finalizzati al pagamento dei maggiori costi delle utenze per l’energia elettrica e gas. Per l’efficacia della norma deve essere pertanto ben chiara la possibilità di impiego delle economie anche per “interventi” di parte corrente. Lo stesso comma 2 consente di impiegare per copertura di maggiori spese energetiche i risparmi prodotti dalla sospensione del rimborso dei “Mutui Mef” decisa per il 2020, per la parte non utilizzata per spese da emergenza epidemiologica e confluita in avanzo di amministrazione vincolato.</w:t>
      </w:r>
    </w:p>
    <w:p w14:paraId="793E1210" w14:textId="00A1EB91" w:rsidR="00A304F1" w:rsidRPr="00A20489" w:rsidRDefault="003B22EC" w:rsidP="00301BCF">
      <w:pPr>
        <w:spacing w:after="80"/>
        <w:jc w:val="both"/>
        <w:rPr>
          <w:rFonts w:ascii="Bookman Old Style" w:eastAsia="Bookman Old Style" w:hAnsi="Bookman Old Style" w:cs="Bookman Old Style"/>
          <w:i/>
          <w:iCs/>
        </w:rPr>
      </w:pPr>
      <w:r w:rsidRPr="00A20489">
        <w:rPr>
          <w:rFonts w:ascii="Bookman Old Style" w:eastAsia="Bookman Old Style" w:hAnsi="Bookman Old Style" w:cs="Bookman Old Style"/>
          <w:i/>
          <w:iCs/>
        </w:rPr>
        <w:t xml:space="preserve">Il </w:t>
      </w:r>
      <w:r w:rsidR="00A304F1" w:rsidRPr="00A20489">
        <w:rPr>
          <w:rFonts w:ascii="Bookman Old Style" w:eastAsia="Bookman Old Style" w:hAnsi="Bookman Old Style" w:cs="Bookman Old Style"/>
          <w:b/>
          <w:bCs/>
          <w:i/>
          <w:iCs/>
        </w:rPr>
        <w:t>comma 3</w:t>
      </w:r>
      <w:r w:rsidRPr="00A20489">
        <w:rPr>
          <w:rFonts w:ascii="Bookman Old Style" w:eastAsia="Bookman Old Style" w:hAnsi="Bookman Old Style" w:cs="Bookman Old Style"/>
          <w:i/>
          <w:iCs/>
        </w:rPr>
        <w:t xml:space="preserve"> precisa che il dispositivo in questione non si applica </w:t>
      </w:r>
      <w:r w:rsidR="00A304F1" w:rsidRPr="00A20489">
        <w:rPr>
          <w:rFonts w:ascii="Bookman Old Style" w:eastAsia="Bookman Old Style" w:hAnsi="Bookman Old Style" w:cs="Bookman Old Style"/>
          <w:i/>
          <w:iCs/>
        </w:rPr>
        <w:t xml:space="preserve">alle anticipazioni di liquidità di cui al dl 35/2013, e successivi rifinanziamenti, nonché alle posizioni debitorie degli enti colpiti da eventi sismici già oggetto di differimento. </w:t>
      </w:r>
    </w:p>
    <w:p w14:paraId="31C99A04" w14:textId="77777777" w:rsidR="00522652" w:rsidRPr="00A20489" w:rsidRDefault="00522652" w:rsidP="001A7095">
      <w:pPr>
        <w:spacing w:after="80"/>
        <w:rPr>
          <w:rFonts w:ascii="Bookman Old Style" w:hAnsi="Bookman Old Style"/>
        </w:rPr>
      </w:pPr>
    </w:p>
    <w:p w14:paraId="7C593701" w14:textId="544980C2" w:rsidR="001B5F91" w:rsidRPr="00A20489" w:rsidRDefault="001B5F91"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38" w:name="_Toc121214275"/>
      <w:r w:rsidRPr="00A20489">
        <w:rPr>
          <w:rFonts w:ascii="Bookman Old Style" w:hAnsi="Bookman Old Style"/>
          <w:b/>
          <w:bCs/>
          <w:color w:val="2F5496" w:themeColor="accent1" w:themeShade="BF"/>
          <w:sz w:val="22"/>
          <w:szCs w:val="22"/>
        </w:rPr>
        <w:t>Interventi di monitoraggio sul gettito dell’IMU, anche a seguito della sentenza CCost n. 209/2022</w:t>
      </w:r>
      <w:bookmarkEnd w:id="38"/>
    </w:p>
    <w:p w14:paraId="07D24158" w14:textId="21F0E896" w:rsidR="001C55B2" w:rsidRPr="00A20489" w:rsidRDefault="001C55B2" w:rsidP="001C55B2">
      <w:pPr>
        <w:rPr>
          <w:rFonts w:ascii="Bookman Old Style" w:hAnsi="Bookman Old Style"/>
          <w:i/>
          <w:iCs/>
        </w:rPr>
      </w:pPr>
      <w:r w:rsidRPr="00A20489">
        <w:rPr>
          <w:rFonts w:ascii="Bookman Old Style" w:hAnsi="Bookman Old Style"/>
          <w:i/>
          <w:iCs/>
        </w:rPr>
        <w:t xml:space="preserve">Dopo l’art. </w:t>
      </w:r>
      <w:r w:rsidR="00A375A1" w:rsidRPr="00A20489">
        <w:rPr>
          <w:rFonts w:ascii="Bookman Old Style" w:hAnsi="Bookman Old Style"/>
          <w:i/>
          <w:iCs/>
        </w:rPr>
        <w:t>21</w:t>
      </w:r>
      <w:r w:rsidRPr="00A20489">
        <w:rPr>
          <w:rFonts w:ascii="Bookman Old Style" w:hAnsi="Bookman Old Style"/>
          <w:i/>
          <w:iCs/>
        </w:rPr>
        <w:t xml:space="preserve"> aggiungere il seguente articolo </w:t>
      </w:r>
      <w:r w:rsidR="00A375A1" w:rsidRPr="00A20489">
        <w:rPr>
          <w:rFonts w:ascii="Bookman Old Style" w:hAnsi="Bookman Old Style"/>
          <w:i/>
          <w:iCs/>
        </w:rPr>
        <w:t>21</w:t>
      </w:r>
      <w:r w:rsidR="00275749">
        <w:rPr>
          <w:rFonts w:ascii="Bookman Old Style" w:hAnsi="Bookman Old Style"/>
          <w:i/>
          <w:iCs/>
        </w:rPr>
        <w:t>-</w:t>
      </w:r>
      <w:r w:rsidR="00A375A1" w:rsidRPr="00A20489">
        <w:rPr>
          <w:rFonts w:ascii="Bookman Old Style" w:hAnsi="Bookman Old Style"/>
          <w:i/>
          <w:iCs/>
        </w:rPr>
        <w:t>bis</w:t>
      </w:r>
      <w:r w:rsidRPr="00A20489">
        <w:rPr>
          <w:rFonts w:ascii="Bookman Old Style" w:hAnsi="Bookman Old Style"/>
          <w:i/>
          <w:iCs/>
        </w:rPr>
        <w:t>:</w:t>
      </w:r>
    </w:p>
    <w:p w14:paraId="53002D9F" w14:textId="7D8AA182" w:rsidR="00275749" w:rsidRPr="00275749" w:rsidRDefault="00B335C4" w:rsidP="00301BCF">
      <w:pPr>
        <w:spacing w:after="80"/>
        <w:jc w:val="both"/>
        <w:rPr>
          <w:rFonts w:ascii="Bookman Old Style" w:hAnsi="Bookman Old Style"/>
          <w:i/>
          <w:iCs/>
        </w:rPr>
      </w:pPr>
      <w:r>
        <w:rPr>
          <w:rFonts w:ascii="Bookman Old Style" w:hAnsi="Bookman Old Style"/>
          <w:i/>
          <w:iCs/>
        </w:rPr>
        <w:t>“</w:t>
      </w:r>
      <w:r w:rsidR="00275749" w:rsidRPr="00275749">
        <w:rPr>
          <w:rFonts w:ascii="Bookman Old Style" w:hAnsi="Bookman Old Style"/>
          <w:i/>
          <w:iCs/>
        </w:rPr>
        <w:t>Art. 21-bis</w:t>
      </w:r>
      <w:r w:rsidR="00275749">
        <w:rPr>
          <w:rFonts w:ascii="Bookman Old Style" w:hAnsi="Bookman Old Style"/>
          <w:i/>
          <w:iCs/>
        </w:rPr>
        <w:t xml:space="preserve"> (Monitoraggio delle variazioni della base imponibile dell’IMU e della Tasi </w:t>
      </w:r>
      <w:r w:rsidR="005B09B0">
        <w:rPr>
          <w:rFonts w:ascii="Bookman Old Style" w:hAnsi="Bookman Old Style"/>
          <w:i/>
          <w:iCs/>
        </w:rPr>
        <w:t xml:space="preserve">ascrivibile all’abitazione principale, anche a seguito della Sentenza CCost n. </w:t>
      </w:r>
      <w:r>
        <w:rPr>
          <w:rFonts w:ascii="Bookman Old Style" w:hAnsi="Bookman Old Style"/>
          <w:i/>
          <w:iCs/>
        </w:rPr>
        <w:t>209/2022)</w:t>
      </w:r>
      <w:r w:rsidR="005B09B0">
        <w:rPr>
          <w:rFonts w:ascii="Bookman Old Style" w:hAnsi="Bookman Old Style"/>
          <w:i/>
          <w:iCs/>
        </w:rPr>
        <w:t xml:space="preserve"> </w:t>
      </w:r>
    </w:p>
    <w:p w14:paraId="4275C06E" w14:textId="3783B694" w:rsidR="00250D15" w:rsidRPr="00A20489" w:rsidRDefault="00161539" w:rsidP="00301BCF">
      <w:pPr>
        <w:spacing w:after="80"/>
        <w:jc w:val="both"/>
        <w:rPr>
          <w:rFonts w:ascii="Bookman Old Style" w:hAnsi="Bookman Old Style"/>
        </w:rPr>
      </w:pPr>
      <w:r w:rsidRPr="00A20489">
        <w:rPr>
          <w:rFonts w:ascii="Bookman Old Style" w:hAnsi="Bookman Old Style"/>
        </w:rPr>
        <w:t xml:space="preserve">1. </w:t>
      </w:r>
      <w:r w:rsidR="007931ED" w:rsidRPr="00A20489">
        <w:rPr>
          <w:rFonts w:ascii="Bookman Old Style" w:hAnsi="Bookman Old Style"/>
        </w:rPr>
        <w:t>A</w:t>
      </w:r>
      <w:r w:rsidR="00916F23" w:rsidRPr="00A20489">
        <w:rPr>
          <w:rFonts w:ascii="Bookman Old Style" w:hAnsi="Bookman Old Style"/>
        </w:rPr>
        <w:t xml:space="preserve">l fine di monitorare gli effetti delle </w:t>
      </w:r>
      <w:r w:rsidR="007931ED" w:rsidRPr="00A20489">
        <w:rPr>
          <w:rFonts w:ascii="Bookman Old Style" w:hAnsi="Bookman Old Style"/>
        </w:rPr>
        <w:t>m</w:t>
      </w:r>
      <w:r w:rsidR="00494DF3" w:rsidRPr="00A20489">
        <w:rPr>
          <w:rFonts w:ascii="Bookman Old Style" w:hAnsi="Bookman Old Style"/>
        </w:rPr>
        <w:t xml:space="preserve">odifiche intervenute </w:t>
      </w:r>
      <w:r w:rsidR="007931ED" w:rsidRPr="00A20489">
        <w:rPr>
          <w:rFonts w:ascii="Bookman Old Style" w:hAnsi="Bookman Old Style"/>
        </w:rPr>
        <w:t xml:space="preserve">nel periodo di vigenza dell’IMU in materia di regime di imposizione sull’abitazione principale </w:t>
      </w:r>
      <w:r w:rsidR="007C01A2" w:rsidRPr="00A20489">
        <w:rPr>
          <w:rFonts w:ascii="Bookman Old Style" w:hAnsi="Bookman Old Style"/>
        </w:rPr>
        <w:t xml:space="preserve">e </w:t>
      </w:r>
      <w:r w:rsidR="00A755FB" w:rsidRPr="00A20489">
        <w:rPr>
          <w:rFonts w:ascii="Bookman Old Style" w:hAnsi="Bookman Old Style"/>
        </w:rPr>
        <w:t>conseguentemente sulla capienza de</w:t>
      </w:r>
      <w:r w:rsidR="00057789" w:rsidRPr="00A20489">
        <w:rPr>
          <w:rFonts w:ascii="Bookman Old Style" w:hAnsi="Bookman Old Style"/>
        </w:rPr>
        <w:t>i trasferimenti sostitutivi a ristoro delle perdite di gettito introdotti da</w:t>
      </w:r>
      <w:r w:rsidR="00C447EB" w:rsidRPr="00A20489">
        <w:rPr>
          <w:rFonts w:ascii="Bookman Old Style" w:hAnsi="Bookman Old Style"/>
        </w:rPr>
        <w:t xml:space="preserve">i commi da 10 a 16 </w:t>
      </w:r>
      <w:r w:rsidR="00390FFF" w:rsidRPr="00A20489">
        <w:rPr>
          <w:rFonts w:ascii="Bookman Old Style" w:hAnsi="Bookman Old Style"/>
        </w:rPr>
        <w:t xml:space="preserve">e dai commi 53 e 54 </w:t>
      </w:r>
      <w:r w:rsidR="007577E1" w:rsidRPr="00A20489">
        <w:rPr>
          <w:rFonts w:ascii="Bookman Old Style" w:hAnsi="Bookman Old Style"/>
        </w:rPr>
        <w:t xml:space="preserve">dell’articolo 1 delle </w:t>
      </w:r>
      <w:r w:rsidR="00390FFF" w:rsidRPr="00A20489">
        <w:rPr>
          <w:rFonts w:ascii="Bookman Old Style" w:hAnsi="Bookman Old Style"/>
        </w:rPr>
        <w:t xml:space="preserve">legge 28 dicembre </w:t>
      </w:r>
      <w:r w:rsidR="007577E1" w:rsidRPr="00A20489">
        <w:rPr>
          <w:rFonts w:ascii="Bookman Old Style" w:hAnsi="Bookman Old Style"/>
        </w:rPr>
        <w:t>2015, n. 208</w:t>
      </w:r>
      <w:r w:rsidR="004A182A" w:rsidRPr="00A20489">
        <w:rPr>
          <w:rFonts w:ascii="Bookman Old Style" w:hAnsi="Bookman Old Style"/>
        </w:rPr>
        <w:t>, nonché alla luce dell</w:t>
      </w:r>
      <w:r w:rsidR="00AD5446" w:rsidRPr="00A20489">
        <w:rPr>
          <w:rFonts w:ascii="Bookman Old Style" w:hAnsi="Bookman Old Style"/>
        </w:rPr>
        <w:t>a</w:t>
      </w:r>
      <w:r w:rsidR="004A182A" w:rsidRPr="00A20489">
        <w:rPr>
          <w:rFonts w:ascii="Bookman Old Style" w:hAnsi="Bookman Old Style"/>
        </w:rPr>
        <w:t xml:space="preserve"> sentenza della </w:t>
      </w:r>
      <w:r w:rsidR="00AD5446" w:rsidRPr="00A20489">
        <w:rPr>
          <w:rFonts w:ascii="Bookman Old Style" w:hAnsi="Bookman Old Style"/>
        </w:rPr>
        <w:t>C</w:t>
      </w:r>
      <w:r w:rsidR="004A182A" w:rsidRPr="00A20489">
        <w:rPr>
          <w:rFonts w:ascii="Bookman Old Style" w:hAnsi="Bookman Old Style"/>
        </w:rPr>
        <w:t xml:space="preserve">orte </w:t>
      </w:r>
      <w:r w:rsidR="00AD5446" w:rsidRPr="00A20489">
        <w:rPr>
          <w:rFonts w:ascii="Bookman Old Style" w:hAnsi="Bookman Old Style"/>
        </w:rPr>
        <w:t>c</w:t>
      </w:r>
      <w:r w:rsidR="004A182A" w:rsidRPr="00A20489">
        <w:rPr>
          <w:rFonts w:ascii="Bookman Old Style" w:hAnsi="Bookman Old Style"/>
        </w:rPr>
        <w:t xml:space="preserve">ostituzionale </w:t>
      </w:r>
      <w:r w:rsidR="00AD5446" w:rsidRPr="00A20489">
        <w:rPr>
          <w:rFonts w:ascii="Bookman Old Style" w:hAnsi="Bookman Old Style"/>
        </w:rPr>
        <w:t>n. 209 del 2022</w:t>
      </w:r>
      <w:r w:rsidR="00D05A29" w:rsidRPr="00A20489">
        <w:rPr>
          <w:rFonts w:ascii="Bookman Old Style" w:hAnsi="Bookman Old Style"/>
        </w:rPr>
        <w:t>, è cost</w:t>
      </w:r>
      <w:r w:rsidR="00E31FBD" w:rsidRPr="00A20489">
        <w:rPr>
          <w:rFonts w:ascii="Bookman Old Style" w:hAnsi="Bookman Old Style"/>
        </w:rPr>
        <w:t>it</w:t>
      </w:r>
      <w:r w:rsidR="00D05A29" w:rsidRPr="00A20489">
        <w:rPr>
          <w:rFonts w:ascii="Bookman Old Style" w:hAnsi="Bookman Old Style"/>
        </w:rPr>
        <w:t xml:space="preserve">uito </w:t>
      </w:r>
      <w:r w:rsidR="00E31FBD" w:rsidRPr="00A20489">
        <w:rPr>
          <w:rFonts w:ascii="Bookman Old Style" w:hAnsi="Bookman Old Style"/>
        </w:rPr>
        <w:t xml:space="preserve">presso il Dipartimento delle Finanze del ministero dell’Economia e delle finanze un tavolo di confronto </w:t>
      </w:r>
      <w:r w:rsidR="007E0F05" w:rsidRPr="00A20489">
        <w:rPr>
          <w:rFonts w:ascii="Bookman Old Style" w:hAnsi="Bookman Old Style"/>
        </w:rPr>
        <w:t>con la partecipazione della Ragioneria generale dello Stato</w:t>
      </w:r>
      <w:r w:rsidR="00FD6E0E" w:rsidRPr="00A20489">
        <w:rPr>
          <w:rFonts w:ascii="Bookman Old Style" w:hAnsi="Bookman Old Style"/>
        </w:rPr>
        <w:t>, del Ministero dell’Interno</w:t>
      </w:r>
      <w:r w:rsidR="007E0F05" w:rsidRPr="00A20489">
        <w:rPr>
          <w:rFonts w:ascii="Bookman Old Style" w:hAnsi="Bookman Old Style"/>
        </w:rPr>
        <w:t xml:space="preserve"> e dell’</w:t>
      </w:r>
      <w:r w:rsidR="001A511D" w:rsidRPr="00A20489">
        <w:rPr>
          <w:rFonts w:ascii="Bookman Old Style" w:hAnsi="Bookman Old Style"/>
        </w:rPr>
        <w:t>Associazione nazionale dei comuni italiani (</w:t>
      </w:r>
      <w:r w:rsidR="007E0F05" w:rsidRPr="00A20489">
        <w:rPr>
          <w:rFonts w:ascii="Bookman Old Style" w:hAnsi="Bookman Old Style"/>
        </w:rPr>
        <w:t>Anci</w:t>
      </w:r>
      <w:r w:rsidR="001A511D" w:rsidRPr="00A20489">
        <w:rPr>
          <w:rFonts w:ascii="Bookman Old Style" w:hAnsi="Bookman Old Style"/>
        </w:rPr>
        <w:t>)</w:t>
      </w:r>
      <w:r w:rsidR="004478C8" w:rsidRPr="00A20489">
        <w:rPr>
          <w:rFonts w:ascii="Bookman Old Style" w:hAnsi="Bookman Old Style"/>
        </w:rPr>
        <w:t>.</w:t>
      </w:r>
    </w:p>
    <w:p w14:paraId="195892F2" w14:textId="2B7847A9" w:rsidR="001B5F91" w:rsidRPr="00A20489" w:rsidRDefault="00250D15" w:rsidP="00301BCF">
      <w:pPr>
        <w:spacing w:after="80"/>
        <w:jc w:val="both"/>
        <w:rPr>
          <w:rFonts w:ascii="Bookman Old Style" w:hAnsi="Bookman Old Style"/>
        </w:rPr>
      </w:pPr>
      <w:r w:rsidRPr="00A20489">
        <w:rPr>
          <w:rFonts w:ascii="Bookman Old Style" w:hAnsi="Bookman Old Style"/>
        </w:rPr>
        <w:t xml:space="preserve">2. Entro il </w:t>
      </w:r>
      <w:r w:rsidR="00651DA7">
        <w:rPr>
          <w:rFonts w:ascii="Bookman Old Style" w:hAnsi="Bookman Old Style"/>
        </w:rPr>
        <w:t>30 giugno 2023</w:t>
      </w:r>
      <w:r w:rsidRPr="00A20489">
        <w:rPr>
          <w:rFonts w:ascii="Bookman Old Style" w:hAnsi="Bookman Old Style"/>
        </w:rPr>
        <w:t xml:space="preserve"> il Direttore del Dipartimento delle Finanze </w:t>
      </w:r>
      <w:r w:rsidR="00741BE9" w:rsidRPr="00A20489">
        <w:rPr>
          <w:rFonts w:ascii="Bookman Old Style" w:hAnsi="Bookman Old Style"/>
        </w:rPr>
        <w:t>presenta una relazione sui risultati dei lavori del tavolo di confronto</w:t>
      </w:r>
      <w:r w:rsidR="00CF47B0" w:rsidRPr="00A20489">
        <w:rPr>
          <w:rFonts w:ascii="Bookman Old Style" w:hAnsi="Bookman Old Style"/>
        </w:rPr>
        <w:t xml:space="preserve"> comprendente la quantificazione </w:t>
      </w:r>
      <w:r w:rsidR="001F2553" w:rsidRPr="00A20489">
        <w:rPr>
          <w:rFonts w:ascii="Bookman Old Style" w:hAnsi="Bookman Old Style"/>
        </w:rPr>
        <w:t xml:space="preserve">su base locale </w:t>
      </w:r>
      <w:r w:rsidR="00CF47B0" w:rsidRPr="00A20489">
        <w:rPr>
          <w:rFonts w:ascii="Bookman Old Style" w:hAnsi="Bookman Old Style"/>
        </w:rPr>
        <w:t xml:space="preserve">delle </w:t>
      </w:r>
      <w:r w:rsidR="0042765E" w:rsidRPr="00A20489">
        <w:rPr>
          <w:rFonts w:ascii="Bookman Old Style" w:hAnsi="Bookman Old Style"/>
        </w:rPr>
        <w:t xml:space="preserve">eventuali </w:t>
      </w:r>
      <w:r w:rsidR="00CF47B0" w:rsidRPr="00A20489">
        <w:rPr>
          <w:rFonts w:ascii="Bookman Old Style" w:hAnsi="Bookman Old Style"/>
        </w:rPr>
        <w:t>variazioni intervenute nel volume della base imponibile qualificata come abitazione principale</w:t>
      </w:r>
      <w:r w:rsidR="0042765E" w:rsidRPr="00A20489">
        <w:rPr>
          <w:rFonts w:ascii="Bookman Old Style" w:hAnsi="Bookman Old Style"/>
        </w:rPr>
        <w:t xml:space="preserve"> e </w:t>
      </w:r>
      <w:r w:rsidR="00B51BF1" w:rsidRPr="00A20489">
        <w:rPr>
          <w:rFonts w:ascii="Bookman Old Style" w:hAnsi="Bookman Old Style"/>
        </w:rPr>
        <w:t xml:space="preserve">le modalità per valutare gli effetti sul medesimo fenomeno della </w:t>
      </w:r>
      <w:r w:rsidR="00EB7F36" w:rsidRPr="00A20489">
        <w:rPr>
          <w:rFonts w:ascii="Bookman Old Style" w:hAnsi="Bookman Old Style"/>
        </w:rPr>
        <w:t xml:space="preserve">citata </w:t>
      </w:r>
      <w:r w:rsidR="00B51BF1" w:rsidRPr="00A20489">
        <w:rPr>
          <w:rFonts w:ascii="Bookman Old Style" w:hAnsi="Bookman Old Style"/>
        </w:rPr>
        <w:t xml:space="preserve">sentenza della Corte costituzionale n. 209 del </w:t>
      </w:r>
      <w:r w:rsidR="00EB7F36" w:rsidRPr="00A20489">
        <w:rPr>
          <w:rFonts w:ascii="Bookman Old Style" w:hAnsi="Bookman Old Style"/>
        </w:rPr>
        <w:t>2022</w:t>
      </w:r>
      <w:r w:rsidR="001F2553" w:rsidRPr="00A20489">
        <w:rPr>
          <w:rFonts w:ascii="Bookman Old Style" w:hAnsi="Bookman Old Style"/>
        </w:rPr>
        <w:t>. Sulla base dell</w:t>
      </w:r>
      <w:r w:rsidR="00EB7F36" w:rsidRPr="00A20489">
        <w:rPr>
          <w:rFonts w:ascii="Bookman Old Style" w:hAnsi="Bookman Old Style"/>
        </w:rPr>
        <w:t>a</w:t>
      </w:r>
      <w:r w:rsidR="001F2553" w:rsidRPr="00A20489">
        <w:rPr>
          <w:rFonts w:ascii="Bookman Old Style" w:hAnsi="Bookman Old Style"/>
        </w:rPr>
        <w:t xml:space="preserve"> predetta relazione,</w:t>
      </w:r>
      <w:r w:rsidR="00FD6E0E" w:rsidRPr="00A20489">
        <w:rPr>
          <w:rFonts w:ascii="Bookman Old Style" w:hAnsi="Bookman Old Style"/>
        </w:rPr>
        <w:t xml:space="preserve"> il </w:t>
      </w:r>
      <w:r w:rsidR="00952417" w:rsidRPr="00A20489">
        <w:rPr>
          <w:rFonts w:ascii="Bookman Old Style" w:hAnsi="Bookman Old Style"/>
        </w:rPr>
        <w:t xml:space="preserve">Ministro dell’Economia e delle finanze può </w:t>
      </w:r>
      <w:r w:rsidR="004478C8" w:rsidRPr="00A20489">
        <w:rPr>
          <w:rFonts w:ascii="Bookman Old Style" w:hAnsi="Bookman Old Style"/>
        </w:rPr>
        <w:t xml:space="preserve">disporre </w:t>
      </w:r>
      <w:r w:rsidR="00C37236" w:rsidRPr="00A20489">
        <w:rPr>
          <w:rFonts w:ascii="Bookman Old Style" w:hAnsi="Bookman Old Style"/>
        </w:rPr>
        <w:t>un ristoro</w:t>
      </w:r>
      <w:r w:rsidR="009A17F9" w:rsidRPr="00A20489">
        <w:rPr>
          <w:rFonts w:ascii="Bookman Old Style" w:hAnsi="Bookman Old Style"/>
        </w:rPr>
        <w:t xml:space="preserve">, fino a un importo massimo complessivo di 50 milioni di euro, </w:t>
      </w:r>
      <w:r w:rsidR="00C37236" w:rsidRPr="00A20489">
        <w:rPr>
          <w:rFonts w:ascii="Bookman Old Style" w:hAnsi="Bookman Old Style"/>
        </w:rPr>
        <w:t xml:space="preserve">a favore dei comuni </w:t>
      </w:r>
      <w:r w:rsidR="00350D61" w:rsidRPr="00A20489">
        <w:rPr>
          <w:rFonts w:ascii="Bookman Old Style" w:hAnsi="Bookman Old Style"/>
        </w:rPr>
        <w:t xml:space="preserve">che </w:t>
      </w:r>
      <w:r w:rsidR="0078744F" w:rsidRPr="00A20489">
        <w:rPr>
          <w:rFonts w:ascii="Bookman Old Style" w:hAnsi="Bookman Old Style"/>
        </w:rPr>
        <w:t xml:space="preserve">risultino penalizzati dalle assegnazioni disposte </w:t>
      </w:r>
      <w:r w:rsidR="006562EB" w:rsidRPr="00A20489">
        <w:rPr>
          <w:rFonts w:ascii="Bookman Old Style" w:hAnsi="Bookman Old Style"/>
        </w:rPr>
        <w:t xml:space="preserve">nell’ambito del fondo di solidarietà comunale </w:t>
      </w:r>
      <w:r w:rsidR="00225E76" w:rsidRPr="00A20489">
        <w:rPr>
          <w:rFonts w:ascii="Bookman Old Style" w:hAnsi="Bookman Old Style"/>
        </w:rPr>
        <w:t>a fronte dell’abolizione del prelievo da imposta immobiliare sulle abitazioni principali</w:t>
      </w:r>
      <w:r w:rsidR="00247BC3" w:rsidRPr="00A20489">
        <w:rPr>
          <w:rFonts w:ascii="Bookman Old Style" w:hAnsi="Bookman Old Style"/>
        </w:rPr>
        <w:t>.</w:t>
      </w:r>
      <w:r w:rsidR="00B335C4">
        <w:rPr>
          <w:rFonts w:ascii="Bookman Old Style" w:hAnsi="Bookman Old Style"/>
        </w:rPr>
        <w:t>”</w:t>
      </w:r>
      <w:r w:rsidR="00247BC3" w:rsidRPr="00A20489">
        <w:rPr>
          <w:rFonts w:ascii="Bookman Old Style" w:hAnsi="Bookman Old Style"/>
        </w:rPr>
        <w:t xml:space="preserve"> </w:t>
      </w:r>
    </w:p>
    <w:p w14:paraId="67E7F5FD" w14:textId="178C752F" w:rsidR="001B5F91" w:rsidRPr="00A20489" w:rsidRDefault="00665903" w:rsidP="00301BCF">
      <w:pPr>
        <w:spacing w:after="80"/>
        <w:jc w:val="center"/>
        <w:rPr>
          <w:rFonts w:ascii="Bookman Old Style" w:hAnsi="Bookman Old Style"/>
          <w:b/>
          <w:bCs/>
        </w:rPr>
      </w:pPr>
      <w:r w:rsidRPr="00A20489">
        <w:rPr>
          <w:rFonts w:ascii="Bookman Old Style" w:hAnsi="Bookman Old Style"/>
          <w:b/>
          <w:bCs/>
        </w:rPr>
        <w:t>Motivazione</w:t>
      </w:r>
    </w:p>
    <w:p w14:paraId="5BE581FA" w14:textId="648E7979" w:rsidR="00665903" w:rsidRPr="00A20489" w:rsidRDefault="003D2BFC" w:rsidP="00301BCF">
      <w:pPr>
        <w:spacing w:after="80"/>
        <w:jc w:val="both"/>
        <w:rPr>
          <w:rFonts w:ascii="Bookman Old Style" w:hAnsi="Bookman Old Style"/>
          <w:i/>
          <w:iCs/>
        </w:rPr>
      </w:pPr>
      <w:r w:rsidRPr="00A20489">
        <w:rPr>
          <w:rFonts w:ascii="Bookman Old Style" w:hAnsi="Bookman Old Style"/>
          <w:i/>
          <w:iCs/>
        </w:rPr>
        <w:t>La sentenza della Corte costituzionale n. 209 del 2022 ha in pratica dichiarato l’incostituzionalità di tutte le norme riguardanti la nozione di abitazione principale</w:t>
      </w:r>
      <w:r w:rsidR="008077B8" w:rsidRPr="00A20489">
        <w:rPr>
          <w:rFonts w:ascii="Bookman Old Style" w:hAnsi="Bookman Old Style"/>
          <w:i/>
          <w:iCs/>
        </w:rPr>
        <w:t xml:space="preserve">, stabilendo che non possano esserci restrizioni ai casi di pluralità di abitazioni principali </w:t>
      </w:r>
      <w:r w:rsidR="00D03946" w:rsidRPr="00A20489">
        <w:rPr>
          <w:rFonts w:ascii="Bookman Old Style" w:hAnsi="Bookman Old Style"/>
          <w:i/>
          <w:iCs/>
        </w:rPr>
        <w:t xml:space="preserve">utilizzate da diversi componenti del medesimo </w:t>
      </w:r>
      <w:r w:rsidR="003743B4" w:rsidRPr="00A20489">
        <w:rPr>
          <w:rFonts w:ascii="Bookman Old Style" w:hAnsi="Bookman Old Style"/>
          <w:i/>
          <w:iCs/>
        </w:rPr>
        <w:t>nucleo familiar</w:t>
      </w:r>
      <w:r w:rsidR="00432323" w:rsidRPr="00A20489">
        <w:rPr>
          <w:rFonts w:ascii="Bookman Old Style" w:hAnsi="Bookman Old Style"/>
          <w:i/>
          <w:iCs/>
        </w:rPr>
        <w:t>e</w:t>
      </w:r>
      <w:r w:rsidR="00373395" w:rsidRPr="00A20489">
        <w:rPr>
          <w:rFonts w:ascii="Bookman Old Style" w:hAnsi="Bookman Old Style"/>
          <w:i/>
          <w:iCs/>
        </w:rPr>
        <w:t xml:space="preserve">. </w:t>
      </w:r>
      <w:r w:rsidR="00B109A0" w:rsidRPr="00A20489">
        <w:rPr>
          <w:rFonts w:ascii="Bookman Old Style" w:hAnsi="Bookman Old Style"/>
          <w:i/>
          <w:iCs/>
        </w:rPr>
        <w:t xml:space="preserve">La sentenza </w:t>
      </w:r>
      <w:r w:rsidR="00431198" w:rsidRPr="00A20489">
        <w:rPr>
          <w:rFonts w:ascii="Bookman Old Style" w:hAnsi="Bookman Old Style"/>
          <w:i/>
          <w:iCs/>
        </w:rPr>
        <w:t>costituisce, peraltro il punto di arrivo di una lunga serie di modifiche normative e di pronunce giurisprudenziali, intervenuti negli scorsi anni</w:t>
      </w:r>
      <w:r w:rsidR="004E672B" w:rsidRPr="00A20489">
        <w:rPr>
          <w:rFonts w:ascii="Bookman Old Style" w:hAnsi="Bookman Old Style"/>
          <w:i/>
          <w:iCs/>
        </w:rPr>
        <w:t xml:space="preserve">, quando la classificazione tra le abitazioni principali </w:t>
      </w:r>
      <w:r w:rsidR="00B87DCA" w:rsidRPr="00A20489">
        <w:rPr>
          <w:rFonts w:ascii="Bookman Old Style" w:hAnsi="Bookman Old Style"/>
          <w:i/>
          <w:iCs/>
        </w:rPr>
        <w:t xml:space="preserve">e </w:t>
      </w:r>
      <w:r w:rsidR="001305C2" w:rsidRPr="00A20489">
        <w:rPr>
          <w:rFonts w:ascii="Bookman Old Style" w:hAnsi="Bookman Old Style"/>
          <w:i/>
          <w:iCs/>
        </w:rPr>
        <w:t xml:space="preserve">tra le unità abitative assimilabili alle principali ha comportato </w:t>
      </w:r>
      <w:r w:rsidR="00D42ACB" w:rsidRPr="00A20489">
        <w:rPr>
          <w:rFonts w:ascii="Bookman Old Style" w:hAnsi="Bookman Old Style"/>
          <w:i/>
          <w:iCs/>
        </w:rPr>
        <w:t xml:space="preserve">l’esenzione dei prelievi immobiliari comunali in base </w:t>
      </w:r>
      <w:r w:rsidR="00A860D2" w:rsidRPr="00A20489">
        <w:rPr>
          <w:rFonts w:ascii="Bookman Old Style" w:hAnsi="Bookman Old Style"/>
          <w:i/>
          <w:iCs/>
        </w:rPr>
        <w:t>alla legge n. 2</w:t>
      </w:r>
      <w:r w:rsidR="006F6BF6" w:rsidRPr="00A20489">
        <w:rPr>
          <w:rFonts w:ascii="Bookman Old Style" w:hAnsi="Bookman Old Style"/>
          <w:i/>
          <w:iCs/>
        </w:rPr>
        <w:t xml:space="preserve">08 del </w:t>
      </w:r>
      <w:r w:rsidR="00A75D5C" w:rsidRPr="00A20489">
        <w:rPr>
          <w:rFonts w:ascii="Bookman Old Style" w:hAnsi="Bookman Old Style"/>
          <w:i/>
          <w:iCs/>
        </w:rPr>
        <w:t>2015</w:t>
      </w:r>
      <w:r w:rsidR="006E60DB">
        <w:rPr>
          <w:rFonts w:ascii="Bookman Old Style" w:hAnsi="Bookman Old Style"/>
          <w:i/>
          <w:iCs/>
        </w:rPr>
        <w:t xml:space="preserve">, con compensazioni determinate </w:t>
      </w:r>
      <w:r w:rsidR="00AA6197">
        <w:rPr>
          <w:rFonts w:ascii="Bookman Old Style" w:hAnsi="Bookman Old Style"/>
          <w:i/>
          <w:iCs/>
        </w:rPr>
        <w:t>in base al gettito all’epoca registrato.</w:t>
      </w:r>
    </w:p>
    <w:p w14:paraId="481526BA" w14:textId="338A9FBA" w:rsidR="00F704C4" w:rsidRDefault="00F704C4">
      <w:pPr>
        <w:rPr>
          <w:rFonts w:ascii="Bookman Old Style" w:eastAsiaTheme="majorEastAsia" w:hAnsi="Bookman Old Style" w:cstheme="majorBidi"/>
          <w:b/>
          <w:bCs/>
          <w:color w:val="2F5496" w:themeColor="accent1" w:themeShade="BF"/>
        </w:rPr>
      </w:pPr>
    </w:p>
    <w:p w14:paraId="3C0CC4BF" w14:textId="77777777" w:rsidR="009735C5" w:rsidRDefault="009735C5">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11CCD607" w14:textId="1FCDFA6C" w:rsidR="00F9637A" w:rsidRPr="00A20489" w:rsidRDefault="00F9637A"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39" w:name="_Toc121214276"/>
      <w:r w:rsidRPr="00A20489">
        <w:rPr>
          <w:rFonts w:ascii="Bookman Old Style" w:hAnsi="Bookman Old Style"/>
          <w:b/>
          <w:bCs/>
          <w:color w:val="2F5496" w:themeColor="accent1" w:themeShade="BF"/>
          <w:sz w:val="22"/>
          <w:szCs w:val="22"/>
        </w:rPr>
        <w:t>Ampliamento</w:t>
      </w:r>
      <w:r w:rsidR="00C305E4" w:rsidRPr="00A20489">
        <w:rPr>
          <w:rFonts w:ascii="Bookman Old Style" w:hAnsi="Bookman Old Style"/>
          <w:b/>
          <w:bCs/>
          <w:color w:val="2F5496" w:themeColor="accent1" w:themeShade="BF"/>
          <w:sz w:val="22"/>
          <w:szCs w:val="22"/>
        </w:rPr>
        <w:t xml:space="preserve"> </w:t>
      </w:r>
      <w:r w:rsidRPr="00A20489">
        <w:rPr>
          <w:rFonts w:ascii="Bookman Old Style" w:hAnsi="Bookman Old Style"/>
          <w:b/>
          <w:bCs/>
          <w:color w:val="2F5496" w:themeColor="accent1" w:themeShade="BF"/>
          <w:sz w:val="22"/>
          <w:szCs w:val="22"/>
        </w:rPr>
        <w:t xml:space="preserve">dei servizi </w:t>
      </w:r>
      <w:r w:rsidR="00E84AAC" w:rsidRPr="00A20489">
        <w:rPr>
          <w:rFonts w:ascii="Bookman Old Style" w:hAnsi="Bookman Old Style"/>
          <w:b/>
          <w:bCs/>
          <w:color w:val="2F5496" w:themeColor="accent1" w:themeShade="BF"/>
          <w:sz w:val="22"/>
          <w:szCs w:val="22"/>
        </w:rPr>
        <w:t xml:space="preserve">educativi per l’infanzia </w:t>
      </w:r>
      <w:r w:rsidR="00C305E4" w:rsidRPr="00A20489">
        <w:rPr>
          <w:rFonts w:ascii="Bookman Old Style" w:hAnsi="Bookman Old Style"/>
          <w:b/>
          <w:bCs/>
          <w:color w:val="2F5496" w:themeColor="accent1" w:themeShade="BF"/>
          <w:sz w:val="22"/>
          <w:szCs w:val="22"/>
        </w:rPr>
        <w:t xml:space="preserve">oggetto di intervento </w:t>
      </w:r>
      <w:r w:rsidR="00E57351" w:rsidRPr="00A20489">
        <w:rPr>
          <w:rFonts w:ascii="Bookman Old Style" w:hAnsi="Bookman Old Style"/>
          <w:b/>
          <w:bCs/>
          <w:color w:val="2F5496" w:themeColor="accent1" w:themeShade="BF"/>
          <w:sz w:val="22"/>
          <w:szCs w:val="22"/>
        </w:rPr>
        <w:t xml:space="preserve">per incentivazione degli obiettivi di servizio </w:t>
      </w:r>
      <w:r w:rsidR="00901535">
        <w:rPr>
          <w:rFonts w:ascii="Bookman Old Style" w:hAnsi="Bookman Old Style"/>
          <w:b/>
          <w:bCs/>
          <w:color w:val="2F5496" w:themeColor="accent1" w:themeShade="BF"/>
          <w:sz w:val="22"/>
          <w:szCs w:val="22"/>
        </w:rPr>
        <w:t>e altre modifiche agli inc</w:t>
      </w:r>
      <w:r w:rsidR="00B64DA0">
        <w:rPr>
          <w:rFonts w:ascii="Bookman Old Style" w:hAnsi="Bookman Old Style"/>
          <w:b/>
          <w:bCs/>
          <w:color w:val="2F5496" w:themeColor="accent1" w:themeShade="BF"/>
          <w:sz w:val="22"/>
          <w:szCs w:val="22"/>
        </w:rPr>
        <w:t xml:space="preserve">entivi degli obiettivi di servizio di cui </w:t>
      </w:r>
      <w:r w:rsidR="00C2752D">
        <w:rPr>
          <w:rFonts w:ascii="Bookman Old Style" w:hAnsi="Bookman Old Style"/>
          <w:b/>
          <w:bCs/>
          <w:color w:val="2F5496" w:themeColor="accent1" w:themeShade="BF"/>
          <w:sz w:val="22"/>
          <w:szCs w:val="22"/>
        </w:rPr>
        <w:t>a</w:t>
      </w:r>
      <w:r w:rsidR="00C305E4" w:rsidRPr="00A20489">
        <w:rPr>
          <w:rFonts w:ascii="Bookman Old Style" w:hAnsi="Bookman Old Style"/>
          <w:b/>
          <w:bCs/>
          <w:color w:val="2F5496" w:themeColor="accent1" w:themeShade="BF"/>
          <w:sz w:val="22"/>
          <w:szCs w:val="22"/>
        </w:rPr>
        <w:t xml:space="preserve">l </w:t>
      </w:r>
      <w:r w:rsidRPr="00A20489">
        <w:rPr>
          <w:rFonts w:ascii="Bookman Old Style" w:hAnsi="Bookman Old Style"/>
          <w:b/>
          <w:bCs/>
          <w:color w:val="2F5496" w:themeColor="accent1" w:themeShade="BF"/>
          <w:sz w:val="22"/>
          <w:szCs w:val="22"/>
        </w:rPr>
        <w:t>c</w:t>
      </w:r>
      <w:r w:rsidR="00C305E4" w:rsidRPr="00A20489">
        <w:rPr>
          <w:rFonts w:ascii="Bookman Old Style" w:hAnsi="Bookman Old Style"/>
          <w:b/>
          <w:bCs/>
          <w:color w:val="2F5496" w:themeColor="accent1" w:themeShade="BF"/>
          <w:sz w:val="22"/>
          <w:szCs w:val="22"/>
        </w:rPr>
        <w:t xml:space="preserve">omma </w:t>
      </w:r>
      <w:r w:rsidRPr="00A20489">
        <w:rPr>
          <w:rFonts w:ascii="Bookman Old Style" w:hAnsi="Bookman Old Style"/>
          <w:b/>
          <w:bCs/>
          <w:color w:val="2F5496" w:themeColor="accent1" w:themeShade="BF"/>
          <w:sz w:val="22"/>
          <w:szCs w:val="22"/>
        </w:rPr>
        <w:t>172</w:t>
      </w:r>
      <w:r w:rsidR="00C305E4" w:rsidRPr="00A20489">
        <w:rPr>
          <w:rFonts w:ascii="Bookman Old Style" w:hAnsi="Bookman Old Style"/>
          <w:b/>
          <w:bCs/>
          <w:color w:val="2F5496" w:themeColor="accent1" w:themeShade="BF"/>
          <w:sz w:val="22"/>
          <w:szCs w:val="22"/>
        </w:rPr>
        <w:t>,</w:t>
      </w:r>
      <w:r w:rsidRPr="00A20489">
        <w:rPr>
          <w:rFonts w:ascii="Bookman Old Style" w:hAnsi="Bookman Old Style"/>
          <w:b/>
          <w:bCs/>
          <w:color w:val="2F5496" w:themeColor="accent1" w:themeShade="BF"/>
          <w:sz w:val="22"/>
          <w:szCs w:val="22"/>
        </w:rPr>
        <w:t xml:space="preserve"> legge 234/2021</w:t>
      </w:r>
      <w:bookmarkEnd w:id="39"/>
    </w:p>
    <w:p w14:paraId="4DF2DBDA" w14:textId="2091209F" w:rsidR="00536BEA" w:rsidRPr="00A20489" w:rsidRDefault="00536BEA" w:rsidP="00536BEA">
      <w:pPr>
        <w:spacing w:after="80"/>
        <w:rPr>
          <w:rFonts w:ascii="Bookman Old Style" w:hAnsi="Bookman Old Style" w:cstheme="minorHAnsi"/>
          <w:i/>
          <w:iCs/>
          <w:color w:val="000000"/>
          <w:lang w:eastAsia="it-IT"/>
        </w:rPr>
      </w:pPr>
      <w:r w:rsidRPr="00A20489">
        <w:rPr>
          <w:rFonts w:ascii="Bookman Old Style" w:hAnsi="Bookman Old Style" w:cstheme="minorHAnsi"/>
          <w:i/>
          <w:iCs/>
          <w:color w:val="000000"/>
          <w:lang w:eastAsia="it-IT"/>
        </w:rPr>
        <w:t>Dopo l’art. 67 aggiungere il seguente art. 67 bis:</w:t>
      </w:r>
    </w:p>
    <w:p w14:paraId="37A3CA9D" w14:textId="2116E4D9" w:rsidR="00F9637A" w:rsidRDefault="00F9637A" w:rsidP="00214126">
      <w:pPr>
        <w:spacing w:after="80"/>
        <w:jc w:val="center"/>
        <w:rPr>
          <w:rFonts w:ascii="Bookman Old Style" w:hAnsi="Bookman Old Style" w:cs="Calibri"/>
        </w:rPr>
      </w:pPr>
      <w:r w:rsidRPr="00A20489">
        <w:rPr>
          <w:rFonts w:ascii="Bookman Old Style" w:hAnsi="Bookman Old Style" w:cstheme="minorHAnsi"/>
          <w:color w:val="000000"/>
          <w:lang w:eastAsia="it-IT"/>
        </w:rPr>
        <w:t xml:space="preserve">Art. </w:t>
      </w:r>
      <w:r w:rsidR="00B335C4">
        <w:rPr>
          <w:rFonts w:ascii="Bookman Old Style" w:hAnsi="Bookman Old Style" w:cstheme="minorHAnsi"/>
          <w:color w:val="000000"/>
          <w:lang w:eastAsia="it-IT"/>
        </w:rPr>
        <w:t xml:space="preserve">67-bis </w:t>
      </w:r>
      <w:r w:rsidRPr="00A20489">
        <w:rPr>
          <w:rFonts w:ascii="Bookman Old Style" w:hAnsi="Bookman Old Style" w:cs="Calibri"/>
        </w:rPr>
        <w:t>(Ampliamento dei servizi beneficiari del fondo di cui all'art</w:t>
      </w:r>
      <w:r w:rsidR="00B335C4">
        <w:rPr>
          <w:rFonts w:ascii="Bookman Old Style" w:hAnsi="Bookman Old Style" w:cs="Calibri"/>
        </w:rPr>
        <w:t>.</w:t>
      </w:r>
      <w:r w:rsidRPr="00A20489">
        <w:rPr>
          <w:rFonts w:ascii="Bookman Old Style" w:hAnsi="Bookman Old Style" w:cs="Calibri"/>
        </w:rPr>
        <w:t>1, comma 449, lettera d-sexies), della legge 11 dicembre 2016, n. 232</w:t>
      </w:r>
      <w:r w:rsidR="00E02929">
        <w:rPr>
          <w:rFonts w:ascii="Bookman Old Style" w:hAnsi="Bookman Old Style" w:cs="Calibri"/>
        </w:rPr>
        <w:t xml:space="preserve"> e modalità di impiego degli eventuali recuperi per mancato utilizzo</w:t>
      </w:r>
      <w:r w:rsidRPr="00A20489">
        <w:rPr>
          <w:rFonts w:ascii="Bookman Old Style" w:hAnsi="Bookman Old Style" w:cs="Calibri"/>
        </w:rPr>
        <w:t>)</w:t>
      </w:r>
    </w:p>
    <w:p w14:paraId="58484B0E" w14:textId="04279784" w:rsidR="00E02929" w:rsidRPr="00A20489" w:rsidRDefault="005A1536" w:rsidP="005A1536">
      <w:pPr>
        <w:spacing w:after="80"/>
        <w:rPr>
          <w:rFonts w:ascii="Bookman Old Style" w:hAnsi="Bookman Old Style" w:cs="Calibri"/>
        </w:rPr>
      </w:pPr>
      <w:r>
        <w:rPr>
          <w:rFonts w:ascii="Bookman Old Style" w:hAnsi="Bookman Old Style" w:cs="Calibri"/>
        </w:rPr>
        <w:t xml:space="preserve">1. All’articolo 1, </w:t>
      </w:r>
      <w:r w:rsidRPr="00C2752D">
        <w:rPr>
          <w:rFonts w:ascii="Bookman Old Style" w:hAnsi="Bookman Old Style" w:cs="Calibri"/>
        </w:rPr>
        <w:t>comma 449, della legge 11 dicembre 2016, n. 232, come sostituito dal comma 172 della legge 30 dicembre 2021, n. 234,</w:t>
      </w:r>
      <w:r>
        <w:rPr>
          <w:rFonts w:ascii="Bookman Old Style" w:hAnsi="Bookman Old Style" w:cs="Calibri"/>
        </w:rPr>
        <w:t xml:space="preserve"> sono apportate le seguenti modificazioni:</w:t>
      </w:r>
    </w:p>
    <w:p w14:paraId="2EB744AE" w14:textId="53107A58" w:rsidR="00F9637A" w:rsidRDefault="005A1536" w:rsidP="00C2752D">
      <w:pPr>
        <w:pStyle w:val="Paragrafoelenco"/>
        <w:numPr>
          <w:ilvl w:val="0"/>
          <w:numId w:val="25"/>
        </w:numPr>
        <w:spacing w:after="80"/>
        <w:jc w:val="both"/>
        <w:rPr>
          <w:rFonts w:ascii="Bookman Old Style" w:hAnsi="Bookman Old Style" w:cs="Calibri"/>
        </w:rPr>
      </w:pPr>
      <w:r>
        <w:rPr>
          <w:rFonts w:ascii="Bookman Old Style" w:hAnsi="Bookman Old Style" w:cs="Calibri"/>
        </w:rPr>
        <w:t>a</w:t>
      </w:r>
      <w:r w:rsidR="00F9637A" w:rsidRPr="00C2752D">
        <w:rPr>
          <w:rFonts w:ascii="Bookman Old Style" w:hAnsi="Bookman Old Style" w:cs="Calibri"/>
        </w:rPr>
        <w:t>ll</w:t>
      </w:r>
      <w:r>
        <w:rPr>
          <w:rFonts w:ascii="Bookman Old Style" w:hAnsi="Bookman Old Style" w:cs="Calibri"/>
        </w:rPr>
        <w:t xml:space="preserve">a </w:t>
      </w:r>
      <w:r w:rsidR="00F9637A" w:rsidRPr="00C2752D">
        <w:rPr>
          <w:rFonts w:ascii="Bookman Old Style" w:hAnsi="Bookman Old Style" w:cs="Calibri"/>
        </w:rPr>
        <w:t>lettera d-sexies) sostituire le parole: “</w:t>
      </w:r>
      <w:r w:rsidR="00F9637A" w:rsidRPr="00C2752D">
        <w:rPr>
          <w:rFonts w:ascii="Bookman Old Style" w:hAnsi="Bookman Old Style" w:cs="Calibri"/>
          <w:i/>
          <w:iCs/>
        </w:rPr>
        <w:t xml:space="preserve">nei servizi educativi per l'infanzia di cui </w:t>
      </w:r>
      <w:bookmarkStart w:id="40" w:name="_Hlk118547016"/>
      <w:r w:rsidR="00F9637A" w:rsidRPr="00C2752D">
        <w:rPr>
          <w:rFonts w:ascii="Bookman Old Style" w:hAnsi="Bookman Old Style" w:cs="Calibri"/>
          <w:i/>
          <w:iCs/>
        </w:rPr>
        <w:t>all'articolo 2, comma 3, lettera a), del decreto legislativo 13 aprile 2017, n. 65</w:t>
      </w:r>
      <w:bookmarkEnd w:id="40"/>
      <w:r w:rsidR="00F9637A" w:rsidRPr="00C2752D">
        <w:rPr>
          <w:rFonts w:ascii="Bookman Old Style" w:hAnsi="Bookman Old Style" w:cs="Calibri"/>
        </w:rPr>
        <w:t>” con le parole “</w:t>
      </w:r>
      <w:r w:rsidR="00F9637A" w:rsidRPr="00C2752D">
        <w:rPr>
          <w:rFonts w:ascii="Bookman Old Style" w:hAnsi="Bookman Old Style" w:cs="Calibri"/>
          <w:i/>
          <w:iCs/>
        </w:rPr>
        <w:t>nei servizi educativi per l'infanzia di cui all'articolo 2, comma 3, lettere a), b) e c) punto 3, del decreto legislativo 13 aprile 2017, n. 65</w:t>
      </w:r>
      <w:r w:rsidR="00F9637A" w:rsidRPr="00C2752D">
        <w:rPr>
          <w:rFonts w:ascii="Bookman Old Style" w:hAnsi="Bookman Old Style" w:cs="Calibri"/>
        </w:rPr>
        <w:t>”</w:t>
      </w:r>
      <w:r w:rsidR="00FA79CF">
        <w:rPr>
          <w:rFonts w:ascii="Bookman Old Style" w:hAnsi="Bookman Old Style" w:cs="Calibri"/>
        </w:rPr>
        <w:t>;</w:t>
      </w:r>
    </w:p>
    <w:p w14:paraId="1D6C22B2" w14:textId="7664C19F" w:rsidR="003F7AC8" w:rsidRPr="003F7AC8" w:rsidRDefault="003F7AC8" w:rsidP="003F7AC8">
      <w:pPr>
        <w:pStyle w:val="Paragrafoelenco"/>
        <w:numPr>
          <w:ilvl w:val="0"/>
          <w:numId w:val="25"/>
        </w:numPr>
        <w:spacing w:after="80"/>
        <w:jc w:val="both"/>
        <w:rPr>
          <w:rFonts w:ascii="Bookman Old Style" w:hAnsi="Bookman Old Style" w:cs="Calibri"/>
        </w:rPr>
      </w:pPr>
      <w:r w:rsidRPr="003F7AC8">
        <w:rPr>
          <w:rFonts w:ascii="Bookman Old Style" w:hAnsi="Bookman Old Style" w:cs="Calibri"/>
        </w:rPr>
        <w:t xml:space="preserve">alla </w:t>
      </w:r>
      <w:r>
        <w:rPr>
          <w:rFonts w:ascii="Bookman Old Style" w:hAnsi="Bookman Old Style" w:cs="Calibri"/>
        </w:rPr>
        <w:t xml:space="preserve">medesima </w:t>
      </w:r>
      <w:r w:rsidRPr="003F7AC8">
        <w:rPr>
          <w:rFonts w:ascii="Bookman Old Style" w:hAnsi="Bookman Old Style" w:cs="Calibri"/>
        </w:rPr>
        <w:t xml:space="preserve">lettera d-sexies) è aggiunto, in </w:t>
      </w:r>
      <w:r>
        <w:rPr>
          <w:rFonts w:ascii="Bookman Old Style" w:hAnsi="Bookman Old Style" w:cs="Calibri"/>
        </w:rPr>
        <w:t>fine</w:t>
      </w:r>
      <w:r w:rsidRPr="003F7AC8">
        <w:rPr>
          <w:rFonts w:ascii="Bookman Old Style" w:hAnsi="Bookman Old Style" w:cs="Calibri"/>
        </w:rPr>
        <w:t>, il seguente periodo: “Annualmente, le somme non utilizzate dai singoli comuni beneficiari per assicurare il potenziamento dei servizi educativi per l’infanzia sono recuperate a valere sul fondo di solidarietà comunale e sono destinate ai comuni che, pur avendo già garantito il livello minimo del 33%, hanno utenti a cui non viene garantito il servizio di asilo nido pubblico per insufficienza dei posti offerti”</w:t>
      </w:r>
      <w:r w:rsidR="008852C1">
        <w:rPr>
          <w:rFonts w:ascii="Bookman Old Style" w:hAnsi="Bookman Old Style" w:cs="Calibri"/>
        </w:rPr>
        <w:t>;</w:t>
      </w:r>
    </w:p>
    <w:p w14:paraId="7A8696C3" w14:textId="5E5B3D43" w:rsidR="00A5184E" w:rsidRPr="005A6842" w:rsidRDefault="008852C1" w:rsidP="005A6842">
      <w:pPr>
        <w:pStyle w:val="Paragrafoelenco"/>
        <w:numPr>
          <w:ilvl w:val="0"/>
          <w:numId w:val="25"/>
        </w:numPr>
        <w:spacing w:after="80"/>
        <w:jc w:val="both"/>
        <w:rPr>
          <w:rFonts w:ascii="Bookman Old Style" w:hAnsi="Bookman Old Style" w:cs="Calibri"/>
        </w:rPr>
      </w:pPr>
      <w:r>
        <w:rPr>
          <w:rFonts w:ascii="Bookman Old Style" w:hAnsi="Bookman Old Style" w:cs="Calibri"/>
        </w:rPr>
        <w:t>a</w:t>
      </w:r>
      <w:r w:rsidR="00A5184E" w:rsidRPr="005A6842">
        <w:rPr>
          <w:rFonts w:ascii="Bookman Old Style" w:hAnsi="Bookman Old Style" w:cs="Calibri"/>
        </w:rPr>
        <w:t>ll</w:t>
      </w:r>
      <w:r>
        <w:rPr>
          <w:rFonts w:ascii="Bookman Old Style" w:hAnsi="Bookman Old Style" w:cs="Calibri"/>
        </w:rPr>
        <w:t>a</w:t>
      </w:r>
      <w:r w:rsidR="00A5184E" w:rsidRPr="005A6842">
        <w:rPr>
          <w:rFonts w:ascii="Bookman Old Style" w:hAnsi="Bookman Old Style" w:cs="Calibri"/>
        </w:rPr>
        <w:t xml:space="preserve"> lettera </w:t>
      </w:r>
      <w:r w:rsidR="00B90E7A" w:rsidRPr="005A6842">
        <w:rPr>
          <w:rFonts w:ascii="Bookman Old Style" w:hAnsi="Bookman Old Style" w:cs="Calibri"/>
        </w:rPr>
        <w:t>d-</w:t>
      </w:r>
      <w:r w:rsidR="00B90E7A" w:rsidRPr="005A6842">
        <w:rPr>
          <w:rFonts w:ascii="Bookman Old Style" w:hAnsi="Bookman Old Style" w:cs="Calibri"/>
          <w:i/>
          <w:iCs/>
        </w:rPr>
        <w:t>quinquies</w:t>
      </w:r>
      <w:r w:rsidR="003E7A71" w:rsidRPr="005A6842">
        <w:rPr>
          <w:rFonts w:ascii="Bookman Old Style" w:hAnsi="Bookman Old Style" w:cs="Calibri"/>
        </w:rPr>
        <w:t>,</w:t>
      </w:r>
      <w:r w:rsidR="00EA4823" w:rsidRPr="005A6842">
        <w:rPr>
          <w:rFonts w:ascii="Bookman Old Style" w:hAnsi="Bookman Old Style" w:cs="Calibri"/>
        </w:rPr>
        <w:t xml:space="preserve"> è aggiunto in fine il seguente periodo</w:t>
      </w:r>
      <w:r w:rsidR="004830A4" w:rsidRPr="005A6842">
        <w:rPr>
          <w:rFonts w:ascii="Bookman Old Style" w:hAnsi="Bookman Old Style" w:cs="Calibri"/>
        </w:rPr>
        <w:t>:</w:t>
      </w:r>
    </w:p>
    <w:p w14:paraId="00CF54E2" w14:textId="77777777" w:rsidR="00D94B5A" w:rsidRDefault="004830A4" w:rsidP="00D94B5A">
      <w:pPr>
        <w:pStyle w:val="PreformattatoHTML"/>
        <w:shd w:val="clear" w:color="auto" w:fill="FFFFFF"/>
        <w:spacing w:after="80" w:line="259" w:lineRule="auto"/>
        <w:ind w:left="360"/>
        <w:jc w:val="both"/>
        <w:rPr>
          <w:rFonts w:ascii="Bookman Old Style" w:hAnsi="Bookman Old Style"/>
          <w:color w:val="19191A"/>
          <w:sz w:val="22"/>
          <w:szCs w:val="22"/>
        </w:rPr>
      </w:pPr>
      <w:r w:rsidRPr="00A20489">
        <w:rPr>
          <w:rFonts w:ascii="Bookman Old Style" w:hAnsi="Bookman Old Style" w:cs="Calibri"/>
          <w:sz w:val="22"/>
          <w:szCs w:val="22"/>
        </w:rPr>
        <w:t>“</w:t>
      </w:r>
      <w:r w:rsidRPr="00A20489">
        <w:rPr>
          <w:rFonts w:ascii="Bookman Old Style" w:hAnsi="Bookman Old Style"/>
          <w:color w:val="19191A"/>
          <w:sz w:val="22"/>
          <w:szCs w:val="22"/>
        </w:rPr>
        <w:t xml:space="preserve">Le somme recuperate ai sensi del periodo precedente sono lasciate a disposizione del Ministero dell’Interno per essere riassegnate nell’ambito del Fondo di solidarietà comunale sulla base di criteri connessi al raggiungimento degli obiettivi di cui alla presente lettera su proposta della Commissione tecnica per i fabbisogni standard, nel quadro del provvedimento annuale di assegnazione dei fondi destinati al potenziamento dei servizi sociali comunali.” </w:t>
      </w:r>
    </w:p>
    <w:p w14:paraId="4D947940" w14:textId="5C3BB7A0" w:rsidR="00345CCF" w:rsidRPr="00D94B5A" w:rsidRDefault="00345CCF" w:rsidP="00D94B5A">
      <w:pPr>
        <w:pStyle w:val="Paragrafoelenco"/>
        <w:numPr>
          <w:ilvl w:val="0"/>
          <w:numId w:val="25"/>
        </w:numPr>
        <w:spacing w:after="80"/>
        <w:jc w:val="both"/>
        <w:rPr>
          <w:rFonts w:ascii="Bookman Old Style" w:hAnsi="Bookman Old Style" w:cs="Calibri"/>
        </w:rPr>
      </w:pPr>
      <w:r w:rsidRPr="00A20489">
        <w:rPr>
          <w:rFonts w:ascii="Bookman Old Style" w:hAnsi="Bookman Old Style" w:cs="Calibri"/>
        </w:rPr>
        <w:t>alla lettera d-</w:t>
      </w:r>
      <w:r w:rsidR="00971884" w:rsidRPr="00D94B5A">
        <w:rPr>
          <w:rFonts w:ascii="Bookman Old Style" w:hAnsi="Bookman Old Style" w:cs="Calibri"/>
        </w:rPr>
        <w:t>octies</w:t>
      </w:r>
      <w:r w:rsidR="00026458" w:rsidRPr="00D94B5A">
        <w:rPr>
          <w:rFonts w:ascii="Bookman Old Style" w:hAnsi="Bookman Old Style" w:cs="Calibri"/>
        </w:rPr>
        <w:t xml:space="preserve"> </w:t>
      </w:r>
      <w:r w:rsidR="00026458" w:rsidRPr="00A20489">
        <w:rPr>
          <w:rFonts w:ascii="Bookman Old Style" w:hAnsi="Bookman Old Style" w:cs="Calibri"/>
        </w:rPr>
        <w:t xml:space="preserve">sono aggiunti </w:t>
      </w:r>
      <w:r w:rsidRPr="00A20489">
        <w:rPr>
          <w:rFonts w:ascii="Bookman Old Style" w:hAnsi="Bookman Old Style" w:cs="Calibri"/>
        </w:rPr>
        <w:t>in fine i seguent</w:t>
      </w:r>
      <w:r w:rsidR="00D04695" w:rsidRPr="00A20489">
        <w:rPr>
          <w:rFonts w:ascii="Bookman Old Style" w:hAnsi="Bookman Old Style" w:cs="Calibri"/>
        </w:rPr>
        <w:t>i</w:t>
      </w:r>
      <w:r w:rsidRPr="00A20489">
        <w:rPr>
          <w:rFonts w:ascii="Bookman Old Style" w:hAnsi="Bookman Old Style" w:cs="Calibri"/>
        </w:rPr>
        <w:t xml:space="preserve"> period</w:t>
      </w:r>
      <w:r w:rsidR="00D04695" w:rsidRPr="00A20489">
        <w:rPr>
          <w:rFonts w:ascii="Bookman Old Style" w:hAnsi="Bookman Old Style" w:cs="Calibri"/>
        </w:rPr>
        <w:t>i</w:t>
      </w:r>
      <w:r w:rsidRPr="00A20489">
        <w:rPr>
          <w:rFonts w:ascii="Bookman Old Style" w:hAnsi="Bookman Old Style" w:cs="Calibri"/>
        </w:rPr>
        <w:t>:</w:t>
      </w:r>
    </w:p>
    <w:p w14:paraId="18C6CEF3" w14:textId="489D3B34" w:rsidR="004830A4" w:rsidRDefault="003E5AAB" w:rsidP="00B67C74">
      <w:pPr>
        <w:pStyle w:val="PreformattatoHTML"/>
        <w:shd w:val="clear" w:color="auto" w:fill="FFFFFF"/>
        <w:spacing w:after="80" w:line="259" w:lineRule="auto"/>
        <w:ind w:left="360"/>
        <w:jc w:val="both"/>
        <w:rPr>
          <w:rFonts w:ascii="Bookman Old Style" w:hAnsi="Bookman Old Style"/>
          <w:color w:val="19191A"/>
          <w:sz w:val="22"/>
          <w:szCs w:val="22"/>
        </w:rPr>
      </w:pPr>
      <w:r w:rsidRPr="00A20489">
        <w:rPr>
          <w:rFonts w:ascii="Bookman Old Style" w:hAnsi="Bookman Old Style"/>
          <w:color w:val="19191A"/>
          <w:sz w:val="22"/>
          <w:szCs w:val="22"/>
        </w:rPr>
        <w:t xml:space="preserve">“Le somme recuperate ai sensi del periodo precedente sono lasciate a disposizione del Ministero dell’Interno per essere riassegnate nell’ambito del Fondo di solidarietà comunale sulla base di criteri connessi al raggiungimento degli obiettivi di cui alla presente lettera su proposta della Commissione tecnica per i fabbisogni standard, nel quadro del provvedimento annuale di assegnazione dei fondi destinati all’incremento degli studenti disabili trasportati gratuitamente. I comuni possono procedere all'assunzione del personale necessario alla diretta gestione dei servizi di trasporto scolastico di studenti con disabilità utilizzando le risorse di cui alla presente lettera. </w:t>
      </w:r>
      <w:r w:rsidR="003E34C6" w:rsidRPr="00A20489">
        <w:rPr>
          <w:rFonts w:ascii="Bookman Old Style" w:hAnsi="Bookman Old Style"/>
          <w:color w:val="19191A"/>
          <w:sz w:val="22"/>
          <w:szCs w:val="22"/>
        </w:rPr>
        <w:t>All’impiego delle risorse in questione s</w:t>
      </w:r>
      <w:r w:rsidRPr="00A20489">
        <w:rPr>
          <w:rFonts w:ascii="Bookman Old Style" w:hAnsi="Bookman Old Style"/>
          <w:color w:val="19191A"/>
          <w:sz w:val="22"/>
          <w:szCs w:val="22"/>
        </w:rPr>
        <w:t>i applica l'articolo 57, comma 3-septies, del decreto-legge 14 agosto 2020, n. 104, convertito, con modificazioni, dalla legge 13 ottobre 2020, n. 126;”</w:t>
      </w:r>
    </w:p>
    <w:p w14:paraId="5F458876" w14:textId="77777777" w:rsidR="00322E82" w:rsidRPr="00A20489" w:rsidRDefault="00322E82" w:rsidP="00B67C74">
      <w:pPr>
        <w:pStyle w:val="PreformattatoHTML"/>
        <w:shd w:val="clear" w:color="auto" w:fill="FFFFFF"/>
        <w:spacing w:after="80" w:line="259" w:lineRule="auto"/>
        <w:ind w:left="360"/>
        <w:jc w:val="both"/>
        <w:rPr>
          <w:rFonts w:ascii="Bookman Old Style" w:hAnsi="Bookman Old Style"/>
          <w:color w:val="19191A"/>
          <w:sz w:val="22"/>
          <w:szCs w:val="22"/>
        </w:rPr>
      </w:pPr>
    </w:p>
    <w:p w14:paraId="4B805AF2" w14:textId="77777777" w:rsidR="009D6BF5" w:rsidRPr="00A20489" w:rsidRDefault="009D6BF5" w:rsidP="009D6BF5">
      <w:pPr>
        <w:widowControl w:val="0"/>
        <w:suppressAutoHyphens/>
        <w:spacing w:after="80"/>
        <w:jc w:val="center"/>
        <w:rPr>
          <w:rFonts w:ascii="Bookman Old Style" w:eastAsia="SimSun" w:hAnsi="Bookman Old Style" w:cstheme="minorHAnsi"/>
          <w:b/>
          <w:bCs/>
          <w:kern w:val="1"/>
          <w:lang w:eastAsia="hi-IN" w:bidi="hi-IN"/>
        </w:rPr>
      </w:pPr>
      <w:r w:rsidRPr="00A20489">
        <w:rPr>
          <w:rFonts w:ascii="Bookman Old Style" w:eastAsia="SimSun" w:hAnsi="Bookman Old Style" w:cstheme="minorHAnsi"/>
          <w:b/>
          <w:bCs/>
          <w:kern w:val="1"/>
          <w:lang w:eastAsia="hi-IN" w:bidi="hi-IN"/>
        </w:rPr>
        <w:t>Motivazione</w:t>
      </w:r>
    </w:p>
    <w:p w14:paraId="6FB93B26" w14:textId="3346A64E" w:rsidR="00B0157D" w:rsidRDefault="00B0157D" w:rsidP="00B0157D">
      <w:pPr>
        <w:spacing w:after="80"/>
        <w:jc w:val="both"/>
        <w:rPr>
          <w:rFonts w:ascii="Bookman Old Style" w:eastAsia="Times New Roman" w:hAnsi="Bookman Old Style" w:cs="Courier New"/>
          <w:i/>
          <w:iCs/>
          <w:color w:val="19191A"/>
          <w:lang w:eastAsia="it-IT"/>
        </w:rPr>
      </w:pPr>
      <w:r w:rsidRPr="00A20489">
        <w:rPr>
          <w:rFonts w:ascii="Bookman Old Style" w:eastAsia="Times New Roman" w:hAnsi="Bookman Old Style" w:cs="Courier New"/>
          <w:i/>
          <w:iCs/>
          <w:color w:val="19191A"/>
          <w:lang w:eastAsia="it-IT"/>
        </w:rPr>
        <w:t>Le norme</w:t>
      </w:r>
      <w:r>
        <w:rPr>
          <w:rFonts w:ascii="Bookman Old Style" w:eastAsia="Times New Roman" w:hAnsi="Bookman Old Style" w:cs="Courier New"/>
          <w:i/>
          <w:iCs/>
          <w:color w:val="19191A"/>
          <w:lang w:eastAsia="it-IT"/>
        </w:rPr>
        <w:t xml:space="preserve"> proposte permettono di meglio precisare alcuni degli impieghi dei fondi di incentivazione di servizi di rilevanza sociale (servizi sociali, asili nido e trasporto scolastico studenti con disabilità), introdotti nel Fondo di solidarietà comunale </w:t>
      </w:r>
      <w:r w:rsidR="004E45C8">
        <w:rPr>
          <w:rFonts w:ascii="Bookman Old Style" w:eastAsia="Times New Roman" w:hAnsi="Bookman Old Style" w:cs="Courier New"/>
          <w:i/>
          <w:iCs/>
          <w:color w:val="19191A"/>
          <w:lang w:eastAsia="it-IT"/>
        </w:rPr>
        <w:t>(</w:t>
      </w:r>
      <w:r w:rsidR="004E45C8" w:rsidRPr="00A20489">
        <w:rPr>
          <w:rFonts w:ascii="Bookman Old Style" w:eastAsia="Times New Roman" w:hAnsi="Bookman Old Style" w:cs="Courier New"/>
          <w:i/>
          <w:iCs/>
          <w:color w:val="19191A"/>
          <w:lang w:eastAsia="it-IT"/>
        </w:rPr>
        <w:t xml:space="preserve">FSC) </w:t>
      </w:r>
      <w:r>
        <w:rPr>
          <w:rFonts w:ascii="Bookman Old Style" w:eastAsia="Times New Roman" w:hAnsi="Bookman Old Style" w:cs="Courier New"/>
          <w:i/>
          <w:iCs/>
          <w:color w:val="19191A"/>
          <w:lang w:eastAsia="it-IT"/>
        </w:rPr>
        <w:t>dal 2021 e in crescita progressiva nell’arco dei prossimi anni, nonché di assicurare che gli eventuali inutilizzi di somme per mancato raggiungimento degli obiettivi protempore indicati rimangano nel perimetro del FSC con la medesima destinazione.</w:t>
      </w:r>
    </w:p>
    <w:p w14:paraId="162DC74A" w14:textId="0D8D748C" w:rsidR="009D6BF5" w:rsidRPr="00A20489" w:rsidRDefault="009D6BF5" w:rsidP="009D6BF5">
      <w:pPr>
        <w:spacing w:after="80"/>
        <w:jc w:val="both"/>
        <w:rPr>
          <w:rFonts w:ascii="Bookman Old Style" w:hAnsi="Bookman Old Style" w:cs="Calibri"/>
          <w:i/>
          <w:iCs/>
        </w:rPr>
      </w:pPr>
      <w:r w:rsidRPr="00A20489">
        <w:rPr>
          <w:rFonts w:ascii="Bookman Old Style" w:hAnsi="Bookman Old Style" w:cs="Calibri"/>
          <w:i/>
          <w:iCs/>
        </w:rPr>
        <w:t xml:space="preserve">La </w:t>
      </w:r>
      <w:r w:rsidR="00322AAB" w:rsidRPr="004E45C8">
        <w:rPr>
          <w:rFonts w:ascii="Bookman Old Style" w:hAnsi="Bookman Old Style" w:cs="Calibri"/>
          <w:b/>
          <w:bCs/>
          <w:i/>
          <w:iCs/>
        </w:rPr>
        <w:t>lettera a)</w:t>
      </w:r>
      <w:r w:rsidR="00322AAB">
        <w:rPr>
          <w:rFonts w:ascii="Bookman Old Style" w:hAnsi="Bookman Old Style" w:cs="Calibri"/>
          <w:i/>
          <w:iCs/>
        </w:rPr>
        <w:t xml:space="preserve"> </w:t>
      </w:r>
      <w:r w:rsidR="00B0157D">
        <w:rPr>
          <w:rFonts w:ascii="Bookman Old Style" w:hAnsi="Bookman Old Style" w:cs="Calibri"/>
          <w:i/>
          <w:iCs/>
        </w:rPr>
        <w:t xml:space="preserve">permette di impiegare le somme assegnate per il potenziamento degli asili nido comunali </w:t>
      </w:r>
      <w:r w:rsidR="008563D4">
        <w:rPr>
          <w:rFonts w:ascii="Bookman Old Style" w:hAnsi="Bookman Old Style" w:cs="Calibri"/>
          <w:i/>
          <w:iCs/>
        </w:rPr>
        <w:t>ad un ventaglio più ampio di servizi. Oltre all’incremento di posti per “asili nido e micro-nidi</w:t>
      </w:r>
      <w:r w:rsidR="00213D91">
        <w:rPr>
          <w:rFonts w:ascii="Bookman Old Style" w:hAnsi="Bookman Old Style" w:cs="Calibri"/>
          <w:i/>
          <w:iCs/>
        </w:rPr>
        <w:t xml:space="preserve">, unica opzione oggi considerata dalla norma primaria (rif. a </w:t>
      </w:r>
      <w:r w:rsidRPr="00A20489">
        <w:rPr>
          <w:rFonts w:ascii="Bookman Old Style" w:hAnsi="Bookman Old Style" w:cs="Calibri"/>
          <w:i/>
          <w:iCs/>
        </w:rPr>
        <w:t>art</w:t>
      </w:r>
      <w:r w:rsidR="00213D91">
        <w:rPr>
          <w:rFonts w:ascii="Bookman Old Style" w:hAnsi="Bookman Old Style" w:cs="Calibri"/>
          <w:i/>
          <w:iCs/>
        </w:rPr>
        <w:t>.</w:t>
      </w:r>
      <w:r w:rsidRPr="00A20489">
        <w:rPr>
          <w:rFonts w:ascii="Bookman Old Style" w:hAnsi="Bookman Old Style" w:cs="Calibri"/>
          <w:i/>
          <w:iCs/>
        </w:rPr>
        <w:t xml:space="preserve">2, comma 3, lettera a), del </w:t>
      </w:r>
      <w:r w:rsidR="00213D91">
        <w:rPr>
          <w:rFonts w:ascii="Bookman Old Style" w:hAnsi="Bookman Old Style" w:cs="Calibri"/>
          <w:i/>
          <w:iCs/>
        </w:rPr>
        <w:t xml:space="preserve">d.lgs. </w:t>
      </w:r>
      <w:r w:rsidRPr="00A20489">
        <w:rPr>
          <w:rFonts w:ascii="Bookman Old Style" w:hAnsi="Bookman Old Style" w:cs="Calibri"/>
          <w:i/>
          <w:iCs/>
        </w:rPr>
        <w:t>n. 65</w:t>
      </w:r>
      <w:r w:rsidR="00213D91">
        <w:rPr>
          <w:rFonts w:ascii="Bookman Old Style" w:hAnsi="Bookman Old Style" w:cs="Calibri"/>
          <w:i/>
          <w:iCs/>
        </w:rPr>
        <w:t>/2017</w:t>
      </w:r>
      <w:r w:rsidRPr="00A20489">
        <w:rPr>
          <w:rFonts w:ascii="Bookman Old Style" w:hAnsi="Bookman Old Style" w:cs="Calibri"/>
          <w:i/>
          <w:iCs/>
        </w:rPr>
        <w:t>)</w:t>
      </w:r>
      <w:r w:rsidR="006202E1">
        <w:rPr>
          <w:rFonts w:ascii="Bookman Old Style" w:hAnsi="Bookman Old Style" w:cs="Calibri"/>
          <w:i/>
          <w:iCs/>
        </w:rPr>
        <w:t xml:space="preserve">, la norma proposta </w:t>
      </w:r>
      <w:r w:rsidRPr="00A20489">
        <w:rPr>
          <w:rFonts w:ascii="Bookman Old Style" w:hAnsi="Bookman Old Style" w:cs="Calibri"/>
          <w:i/>
          <w:iCs/>
        </w:rPr>
        <w:t xml:space="preserve">amplia le tipologie di servizio </w:t>
      </w:r>
      <w:r w:rsidR="006202E1">
        <w:rPr>
          <w:rFonts w:ascii="Bookman Old Style" w:hAnsi="Bookman Old Style" w:cs="Calibri"/>
          <w:i/>
          <w:iCs/>
        </w:rPr>
        <w:t xml:space="preserve">alle </w:t>
      </w:r>
      <w:r w:rsidRPr="00A20489">
        <w:rPr>
          <w:rFonts w:ascii="Bookman Old Style" w:hAnsi="Bookman Old Style" w:cs="Calibri"/>
          <w:i/>
          <w:iCs/>
        </w:rPr>
        <w:t xml:space="preserve">sezioni primavera e </w:t>
      </w:r>
      <w:r w:rsidR="006202E1">
        <w:rPr>
          <w:rFonts w:ascii="Bookman Old Style" w:hAnsi="Bookman Old Style" w:cs="Calibri"/>
          <w:i/>
          <w:iCs/>
        </w:rPr>
        <w:t>a</w:t>
      </w:r>
      <w:r w:rsidRPr="00A20489">
        <w:rPr>
          <w:rFonts w:ascii="Bookman Old Style" w:hAnsi="Bookman Old Style" w:cs="Calibri"/>
          <w:i/>
          <w:iCs/>
        </w:rPr>
        <w:t>i servizi educativi in contesto domiciliare (</w:t>
      </w:r>
      <w:r w:rsidR="006202E1">
        <w:rPr>
          <w:rFonts w:ascii="Bookman Old Style" w:hAnsi="Bookman Old Style" w:cs="Calibri"/>
          <w:i/>
          <w:iCs/>
        </w:rPr>
        <w:t>rispet</w:t>
      </w:r>
      <w:r w:rsidR="00692350">
        <w:rPr>
          <w:rFonts w:ascii="Bookman Old Style" w:hAnsi="Bookman Old Style" w:cs="Calibri"/>
          <w:i/>
          <w:iCs/>
        </w:rPr>
        <w:t xml:space="preserve">tivamente, le </w:t>
      </w:r>
      <w:r w:rsidRPr="00A20489">
        <w:rPr>
          <w:rFonts w:ascii="Bookman Old Style" w:hAnsi="Bookman Old Style" w:cs="Calibri"/>
          <w:i/>
          <w:iCs/>
        </w:rPr>
        <w:t xml:space="preserve">lettere b) e c) punto 3, </w:t>
      </w:r>
      <w:r w:rsidR="00692350">
        <w:rPr>
          <w:rFonts w:ascii="Bookman Old Style" w:hAnsi="Bookman Old Style" w:cs="Calibri"/>
          <w:i/>
          <w:iCs/>
        </w:rPr>
        <w:t>della norma citata</w:t>
      </w:r>
      <w:r w:rsidRPr="00A20489">
        <w:rPr>
          <w:rFonts w:ascii="Bookman Old Style" w:hAnsi="Bookman Old Style" w:cs="Calibri"/>
          <w:i/>
          <w:iCs/>
        </w:rPr>
        <w:t>. In questo modo si facilita il raggiungimento dell’obiettivo di servizio, in particolare nei piccoli comuni dove l’avviamento di un asilo nido risulta più problematico rispetto ad ampliare o istituire una sezione primavera o un servizio educativo in contesto domiciliare, che per le loro caratteristiche possono essere considerati servizi equivalenti.</w:t>
      </w:r>
    </w:p>
    <w:p w14:paraId="636B4078" w14:textId="25FCF981" w:rsidR="00F879FB" w:rsidRDefault="00D1391D" w:rsidP="00214126">
      <w:pPr>
        <w:spacing w:after="80"/>
        <w:jc w:val="both"/>
        <w:rPr>
          <w:rFonts w:ascii="Bookman Old Style" w:eastAsia="Times New Roman" w:hAnsi="Bookman Old Style" w:cs="Courier New"/>
          <w:i/>
          <w:iCs/>
          <w:color w:val="19191A"/>
          <w:lang w:eastAsia="it-IT"/>
        </w:rPr>
      </w:pPr>
      <w:r>
        <w:rPr>
          <w:rFonts w:ascii="Bookman Old Style" w:eastAsia="Times New Roman" w:hAnsi="Bookman Old Style" w:cs="Courier New"/>
          <w:i/>
          <w:iCs/>
          <w:color w:val="19191A"/>
          <w:lang w:eastAsia="it-IT"/>
        </w:rPr>
        <w:t xml:space="preserve">Con la </w:t>
      </w:r>
      <w:r w:rsidRPr="00F879FB">
        <w:rPr>
          <w:rFonts w:ascii="Bookman Old Style" w:eastAsia="Times New Roman" w:hAnsi="Bookman Old Style" w:cs="Courier New"/>
          <w:b/>
          <w:bCs/>
          <w:i/>
          <w:iCs/>
          <w:color w:val="19191A"/>
          <w:lang w:eastAsia="it-IT"/>
        </w:rPr>
        <w:t>lettera b</w:t>
      </w:r>
      <w:r w:rsidR="00F879FB" w:rsidRPr="00F879FB">
        <w:rPr>
          <w:rFonts w:ascii="Bookman Old Style" w:eastAsia="Times New Roman" w:hAnsi="Bookman Old Style" w:cs="Courier New"/>
          <w:b/>
          <w:bCs/>
          <w:i/>
          <w:iCs/>
          <w:color w:val="19191A"/>
          <w:lang w:eastAsia="it-IT"/>
        </w:rPr>
        <w:t>)</w:t>
      </w:r>
      <w:r>
        <w:rPr>
          <w:rFonts w:ascii="Bookman Old Style" w:eastAsia="Times New Roman" w:hAnsi="Bookman Old Style" w:cs="Courier New"/>
          <w:i/>
          <w:iCs/>
          <w:color w:val="19191A"/>
          <w:lang w:eastAsia="it-IT"/>
        </w:rPr>
        <w:t xml:space="preserve">, sempre in materia di asili nido, si </w:t>
      </w:r>
      <w:r w:rsidR="005703FE" w:rsidRPr="00A20489">
        <w:rPr>
          <w:rFonts w:ascii="Bookman Old Style" w:eastAsia="Times New Roman" w:hAnsi="Bookman Old Style" w:cs="Courier New"/>
          <w:i/>
          <w:iCs/>
          <w:color w:val="19191A"/>
          <w:lang w:eastAsia="it-IT"/>
        </w:rPr>
        <w:t xml:space="preserve">permette di </w:t>
      </w:r>
      <w:r w:rsidR="00EB1126" w:rsidRPr="00A20489">
        <w:rPr>
          <w:rFonts w:ascii="Bookman Old Style" w:eastAsia="Times New Roman" w:hAnsi="Bookman Old Style" w:cs="Courier New"/>
          <w:i/>
          <w:iCs/>
          <w:color w:val="19191A"/>
          <w:lang w:eastAsia="it-IT"/>
        </w:rPr>
        <w:t xml:space="preserve">riutilizzare le somme </w:t>
      </w:r>
      <w:r w:rsidR="00F879FB">
        <w:rPr>
          <w:rFonts w:ascii="Bookman Old Style" w:eastAsia="Times New Roman" w:hAnsi="Bookman Old Style" w:cs="Courier New"/>
          <w:i/>
          <w:iCs/>
          <w:color w:val="19191A"/>
          <w:lang w:eastAsia="it-IT"/>
        </w:rPr>
        <w:t xml:space="preserve">eventualmente </w:t>
      </w:r>
      <w:r w:rsidR="00EB1126" w:rsidRPr="00A20489">
        <w:rPr>
          <w:rFonts w:ascii="Bookman Old Style" w:eastAsia="Times New Roman" w:hAnsi="Bookman Old Style" w:cs="Courier New"/>
          <w:i/>
          <w:iCs/>
          <w:color w:val="19191A"/>
          <w:lang w:eastAsia="it-IT"/>
        </w:rPr>
        <w:t xml:space="preserve">non utilizzate annualmente </w:t>
      </w:r>
      <w:r w:rsidR="00F879FB" w:rsidRPr="00A20489">
        <w:rPr>
          <w:rFonts w:ascii="Bookman Old Style" w:hAnsi="Bookman Old Style" w:cs="Calibri"/>
          <w:i/>
          <w:iCs/>
        </w:rPr>
        <w:t>a</w:t>
      </w:r>
      <w:r w:rsidR="00F879FB">
        <w:rPr>
          <w:rFonts w:ascii="Bookman Old Style" w:hAnsi="Bookman Old Style" w:cs="Calibri"/>
          <w:i/>
          <w:iCs/>
        </w:rPr>
        <w:t xml:space="preserve"> favore de</w:t>
      </w:r>
      <w:r w:rsidR="00F879FB" w:rsidRPr="00A20489">
        <w:rPr>
          <w:rFonts w:ascii="Bookman Old Style" w:hAnsi="Bookman Old Style" w:cs="Calibri"/>
          <w:i/>
          <w:iCs/>
        </w:rPr>
        <w:t xml:space="preserve">i </w:t>
      </w:r>
      <w:r w:rsidR="00F879FB">
        <w:rPr>
          <w:rFonts w:ascii="Bookman Old Style" w:hAnsi="Bookman Old Style" w:cs="Calibri"/>
          <w:i/>
          <w:iCs/>
        </w:rPr>
        <w:t>C</w:t>
      </w:r>
      <w:r w:rsidR="00F879FB" w:rsidRPr="00A20489">
        <w:rPr>
          <w:rFonts w:ascii="Bookman Old Style" w:hAnsi="Bookman Old Style" w:cs="Calibri"/>
          <w:i/>
          <w:iCs/>
        </w:rPr>
        <w:t>omuni che già hanno raggiunto l’obiettivo di servizio ma che hanno richiedenti cui il posto non viene concesso a causa dell’offerta insufficiente rispetto alla domanda.</w:t>
      </w:r>
    </w:p>
    <w:p w14:paraId="0E22D228" w14:textId="1235F7F6" w:rsidR="007E549F" w:rsidRDefault="004E45C8" w:rsidP="009936B8">
      <w:pPr>
        <w:spacing w:after="80"/>
        <w:jc w:val="both"/>
        <w:rPr>
          <w:rFonts w:ascii="Bookman Old Style" w:eastAsia="Times New Roman" w:hAnsi="Bookman Old Style" w:cs="Courier New"/>
          <w:i/>
          <w:iCs/>
          <w:color w:val="19191A"/>
          <w:lang w:eastAsia="it-IT"/>
        </w:rPr>
      </w:pPr>
      <w:r>
        <w:rPr>
          <w:rFonts w:ascii="Bookman Old Style" w:eastAsia="Times New Roman" w:hAnsi="Bookman Old Style" w:cs="Courier New"/>
          <w:b/>
          <w:bCs/>
          <w:i/>
          <w:iCs/>
          <w:color w:val="19191A"/>
          <w:lang w:eastAsia="it-IT"/>
        </w:rPr>
        <w:t xml:space="preserve">Con le lettere </w:t>
      </w:r>
      <w:r w:rsidR="00F879FB">
        <w:rPr>
          <w:rFonts w:ascii="Bookman Old Style" w:eastAsia="Times New Roman" w:hAnsi="Bookman Old Style" w:cs="Courier New"/>
          <w:b/>
          <w:bCs/>
          <w:i/>
          <w:iCs/>
          <w:color w:val="19191A"/>
          <w:lang w:eastAsia="it-IT"/>
        </w:rPr>
        <w:t xml:space="preserve">c) </w:t>
      </w:r>
      <w:r>
        <w:rPr>
          <w:rFonts w:ascii="Bookman Old Style" w:eastAsia="Times New Roman" w:hAnsi="Bookman Old Style" w:cs="Courier New"/>
          <w:b/>
          <w:bCs/>
          <w:i/>
          <w:iCs/>
          <w:color w:val="19191A"/>
          <w:lang w:eastAsia="it-IT"/>
        </w:rPr>
        <w:t xml:space="preserve">e d) </w:t>
      </w:r>
      <w:r>
        <w:rPr>
          <w:rFonts w:ascii="Bookman Old Style" w:eastAsia="Times New Roman" w:hAnsi="Bookman Old Style" w:cs="Courier New"/>
          <w:i/>
          <w:iCs/>
          <w:color w:val="19191A"/>
          <w:lang w:eastAsia="it-IT"/>
        </w:rPr>
        <w:t xml:space="preserve">si mantengono </w:t>
      </w:r>
      <w:r w:rsidR="00F879FB" w:rsidRPr="00A20489">
        <w:rPr>
          <w:rFonts w:ascii="Bookman Old Style" w:eastAsia="Times New Roman" w:hAnsi="Bookman Old Style" w:cs="Courier New"/>
          <w:i/>
          <w:iCs/>
          <w:color w:val="19191A"/>
          <w:lang w:eastAsia="it-IT"/>
        </w:rPr>
        <w:t>nel perimetro del FSC le somme eventualmente non utilizzate dai Comuni per il raggiungimento di alcuni degli obiettivi di servizio oggetto di incentivazione con fondi dedicati del FSC</w:t>
      </w:r>
      <w:r w:rsidR="00E61C28">
        <w:rPr>
          <w:rFonts w:ascii="Bookman Old Style" w:eastAsia="Times New Roman" w:hAnsi="Bookman Old Style" w:cs="Courier New"/>
          <w:i/>
          <w:iCs/>
          <w:color w:val="19191A"/>
          <w:lang w:eastAsia="it-IT"/>
        </w:rPr>
        <w:t xml:space="preserve">, con riferimento al </w:t>
      </w:r>
      <w:r w:rsidR="00EB1126" w:rsidRPr="00A20489">
        <w:rPr>
          <w:rFonts w:ascii="Bookman Old Style" w:eastAsia="Times New Roman" w:hAnsi="Bookman Old Style" w:cs="Courier New"/>
          <w:i/>
          <w:iCs/>
          <w:color w:val="19191A"/>
          <w:lang w:eastAsia="it-IT"/>
        </w:rPr>
        <w:t xml:space="preserve">potenziamento dei </w:t>
      </w:r>
      <w:r w:rsidR="00EB1126" w:rsidRPr="00A20489">
        <w:rPr>
          <w:rFonts w:ascii="Bookman Old Style" w:eastAsia="Times New Roman" w:hAnsi="Bookman Old Style" w:cs="Courier New"/>
          <w:b/>
          <w:bCs/>
          <w:i/>
          <w:iCs/>
          <w:color w:val="19191A"/>
          <w:lang w:eastAsia="it-IT"/>
        </w:rPr>
        <w:t>servizi sociali</w:t>
      </w:r>
      <w:r w:rsidR="00EB1126" w:rsidRPr="00A20489">
        <w:rPr>
          <w:rFonts w:ascii="Bookman Old Style" w:eastAsia="Times New Roman" w:hAnsi="Bookman Old Style" w:cs="Courier New"/>
          <w:i/>
          <w:iCs/>
          <w:color w:val="19191A"/>
          <w:lang w:eastAsia="it-IT"/>
        </w:rPr>
        <w:t xml:space="preserve"> comunali </w:t>
      </w:r>
      <w:r w:rsidR="00E61C28">
        <w:rPr>
          <w:rFonts w:ascii="Bookman Old Style" w:eastAsia="Times New Roman" w:hAnsi="Bookman Old Style" w:cs="Courier New"/>
          <w:i/>
          <w:iCs/>
          <w:color w:val="19191A"/>
          <w:lang w:eastAsia="it-IT"/>
        </w:rPr>
        <w:t>(lettera b)</w:t>
      </w:r>
      <w:r w:rsidR="00E61C28" w:rsidRPr="00A20489">
        <w:rPr>
          <w:rFonts w:ascii="Bookman Old Style" w:eastAsia="Times New Roman" w:hAnsi="Bookman Old Style" w:cs="Courier New"/>
          <w:i/>
          <w:iCs/>
          <w:color w:val="19191A"/>
          <w:lang w:eastAsia="it-IT"/>
        </w:rPr>
        <w:t xml:space="preserve"> </w:t>
      </w:r>
      <w:r w:rsidR="007E549F" w:rsidRPr="00A20489">
        <w:rPr>
          <w:rFonts w:ascii="Bookman Old Style" w:eastAsia="Times New Roman" w:hAnsi="Bookman Old Style" w:cs="Courier New"/>
          <w:i/>
          <w:iCs/>
          <w:color w:val="19191A"/>
          <w:lang w:eastAsia="it-IT"/>
        </w:rPr>
        <w:t xml:space="preserve">del </w:t>
      </w:r>
      <w:r w:rsidR="007E549F" w:rsidRPr="00A20489">
        <w:rPr>
          <w:rFonts w:ascii="Bookman Old Style" w:eastAsia="Times New Roman" w:hAnsi="Bookman Old Style" w:cs="Courier New"/>
          <w:b/>
          <w:bCs/>
          <w:i/>
          <w:iCs/>
          <w:color w:val="19191A"/>
          <w:lang w:eastAsia="it-IT"/>
        </w:rPr>
        <w:t>trasporto scolastico di studenti con disabilità</w:t>
      </w:r>
      <w:r w:rsidR="007E549F">
        <w:rPr>
          <w:rFonts w:ascii="Bookman Old Style" w:eastAsia="Times New Roman" w:hAnsi="Bookman Old Style" w:cs="Courier New"/>
          <w:b/>
          <w:bCs/>
          <w:i/>
          <w:iCs/>
          <w:color w:val="19191A"/>
          <w:lang w:eastAsia="it-IT"/>
        </w:rPr>
        <w:t xml:space="preserve"> </w:t>
      </w:r>
      <w:r w:rsidR="007E549F">
        <w:rPr>
          <w:rFonts w:ascii="Bookman Old Style" w:eastAsia="Times New Roman" w:hAnsi="Bookman Old Style" w:cs="Courier New"/>
          <w:i/>
          <w:iCs/>
          <w:color w:val="19191A"/>
          <w:lang w:eastAsia="it-IT"/>
        </w:rPr>
        <w:t>(lett. d)</w:t>
      </w:r>
      <w:r w:rsidR="009936B8">
        <w:rPr>
          <w:rFonts w:ascii="Bookman Old Style" w:eastAsia="Times New Roman" w:hAnsi="Bookman Old Style" w:cs="Courier New"/>
          <w:i/>
          <w:iCs/>
          <w:color w:val="19191A"/>
          <w:lang w:eastAsia="it-IT"/>
        </w:rPr>
        <w:t xml:space="preserve">. Tali somme potranno così essere utilizzate in </w:t>
      </w:r>
      <w:r w:rsidR="002B08B7" w:rsidRPr="00A20489">
        <w:rPr>
          <w:rFonts w:ascii="Bookman Old Style" w:eastAsia="Times New Roman" w:hAnsi="Bookman Old Style" w:cs="Courier New"/>
          <w:i/>
          <w:iCs/>
          <w:color w:val="19191A"/>
          <w:lang w:eastAsia="it-IT"/>
        </w:rPr>
        <w:t>annualità successive e con le stesse finalità originarie, sulla base di proposte della Commissione tecnica per i fabbisogni sta</w:t>
      </w:r>
      <w:r w:rsidR="002104FC" w:rsidRPr="00A20489">
        <w:rPr>
          <w:rFonts w:ascii="Bookman Old Style" w:eastAsia="Times New Roman" w:hAnsi="Bookman Old Style" w:cs="Courier New"/>
          <w:i/>
          <w:iCs/>
          <w:color w:val="19191A"/>
          <w:lang w:eastAsia="it-IT"/>
        </w:rPr>
        <w:t>ndard</w:t>
      </w:r>
      <w:r w:rsidR="009936B8">
        <w:rPr>
          <w:rFonts w:ascii="Bookman Old Style" w:eastAsia="Times New Roman" w:hAnsi="Bookman Old Style" w:cs="Courier New"/>
          <w:i/>
          <w:iCs/>
          <w:color w:val="19191A"/>
          <w:lang w:eastAsia="it-IT"/>
        </w:rPr>
        <w:t xml:space="preserve"> (CTFS)</w:t>
      </w:r>
      <w:r w:rsidR="001B4B71">
        <w:rPr>
          <w:rFonts w:ascii="Bookman Old Style" w:eastAsia="Times New Roman" w:hAnsi="Bookman Old Style" w:cs="Courier New"/>
          <w:i/>
          <w:iCs/>
          <w:color w:val="19191A"/>
          <w:lang w:eastAsia="it-IT"/>
        </w:rPr>
        <w:t>.</w:t>
      </w:r>
    </w:p>
    <w:p w14:paraId="3D12513F" w14:textId="753E0943" w:rsidR="00DA64C9" w:rsidRDefault="001B4B71" w:rsidP="00214126">
      <w:pPr>
        <w:spacing w:after="80"/>
        <w:jc w:val="both"/>
        <w:rPr>
          <w:rFonts w:ascii="Bookman Old Style" w:eastAsia="Times New Roman" w:hAnsi="Bookman Old Style" w:cs="Courier New"/>
          <w:i/>
          <w:iCs/>
          <w:color w:val="19191A"/>
          <w:lang w:eastAsia="it-IT"/>
        </w:rPr>
      </w:pPr>
      <w:r>
        <w:rPr>
          <w:rFonts w:ascii="Bookman Old Style" w:eastAsia="Times New Roman" w:hAnsi="Bookman Old Style" w:cs="Courier New"/>
          <w:i/>
          <w:iCs/>
          <w:color w:val="19191A"/>
          <w:lang w:eastAsia="it-IT"/>
        </w:rPr>
        <w:t>La stessa lett. d), inoltre esplicita</w:t>
      </w:r>
      <w:r w:rsidR="00CF6789">
        <w:rPr>
          <w:rFonts w:ascii="Bookman Old Style" w:eastAsia="Times New Roman" w:hAnsi="Bookman Old Style" w:cs="Courier New"/>
          <w:i/>
          <w:iCs/>
          <w:color w:val="19191A"/>
          <w:lang w:eastAsia="it-IT"/>
        </w:rPr>
        <w:t xml:space="preserve"> anche nel caso </w:t>
      </w:r>
      <w:r w:rsidR="00CF6789">
        <w:rPr>
          <w:rFonts w:ascii="Bookman Old Style" w:eastAsia="Times New Roman" w:hAnsi="Bookman Old Style" w:cs="Courier New"/>
          <w:b/>
          <w:bCs/>
          <w:i/>
          <w:iCs/>
          <w:color w:val="19191A"/>
          <w:lang w:eastAsia="it-IT"/>
        </w:rPr>
        <w:t xml:space="preserve">del </w:t>
      </w:r>
      <w:r w:rsidR="00CF6789" w:rsidRPr="000976D9">
        <w:rPr>
          <w:rFonts w:ascii="Bookman Old Style" w:eastAsia="Times New Roman" w:hAnsi="Bookman Old Style" w:cs="Courier New"/>
          <w:b/>
          <w:bCs/>
          <w:i/>
          <w:iCs/>
          <w:color w:val="19191A"/>
          <w:lang w:eastAsia="it-IT"/>
        </w:rPr>
        <w:t>trasporto studenti con disabilità</w:t>
      </w:r>
      <w:r>
        <w:rPr>
          <w:rFonts w:ascii="Bookman Old Style" w:eastAsia="Times New Roman" w:hAnsi="Bookman Old Style" w:cs="Courier New"/>
          <w:i/>
          <w:iCs/>
          <w:color w:val="19191A"/>
          <w:lang w:eastAsia="it-IT"/>
        </w:rPr>
        <w:t xml:space="preserve">, come già avviene per gli altri servizi oggetto di incentivazione, </w:t>
      </w:r>
      <w:r w:rsidR="00B708C8" w:rsidRPr="000976D9">
        <w:rPr>
          <w:rFonts w:ascii="Bookman Old Style" w:eastAsia="Times New Roman" w:hAnsi="Bookman Old Style" w:cs="Courier New"/>
          <w:b/>
          <w:bCs/>
          <w:i/>
          <w:iCs/>
          <w:color w:val="19191A"/>
          <w:lang w:eastAsia="it-IT"/>
        </w:rPr>
        <w:t xml:space="preserve">l’espressa facoltà di utilizzo delle somme assegnate </w:t>
      </w:r>
      <w:r w:rsidR="005275A4" w:rsidRPr="000976D9">
        <w:rPr>
          <w:rFonts w:ascii="Bookman Old Style" w:eastAsia="Times New Roman" w:hAnsi="Bookman Old Style" w:cs="Courier New"/>
          <w:b/>
          <w:bCs/>
          <w:i/>
          <w:iCs/>
          <w:color w:val="19191A"/>
          <w:lang w:eastAsia="it-IT"/>
        </w:rPr>
        <w:t xml:space="preserve">per </w:t>
      </w:r>
      <w:r w:rsidR="009D00EB" w:rsidRPr="000976D9">
        <w:rPr>
          <w:rFonts w:ascii="Bookman Old Style" w:eastAsia="Times New Roman" w:hAnsi="Bookman Old Style" w:cs="Courier New"/>
          <w:b/>
          <w:bCs/>
          <w:i/>
          <w:iCs/>
          <w:color w:val="19191A"/>
          <w:lang w:eastAsia="it-IT"/>
        </w:rPr>
        <w:t>assunzioni</w:t>
      </w:r>
      <w:r w:rsidR="009D00EB" w:rsidRPr="00A20489">
        <w:rPr>
          <w:rFonts w:ascii="Bookman Old Style" w:eastAsia="Times New Roman" w:hAnsi="Bookman Old Style" w:cs="Courier New"/>
          <w:i/>
          <w:iCs/>
          <w:color w:val="19191A"/>
          <w:lang w:eastAsia="it-IT"/>
        </w:rPr>
        <w:t xml:space="preserve"> di personale funzionale all’espletamento del </w:t>
      </w:r>
      <w:r w:rsidR="009D00EB" w:rsidRPr="00CF6789">
        <w:rPr>
          <w:rFonts w:ascii="Bookman Old Style" w:eastAsia="Times New Roman" w:hAnsi="Bookman Old Style" w:cs="Courier New"/>
          <w:i/>
          <w:iCs/>
          <w:color w:val="19191A"/>
          <w:lang w:eastAsia="it-IT"/>
        </w:rPr>
        <w:t>servizio</w:t>
      </w:r>
      <w:r w:rsidR="000976D9" w:rsidRPr="000976D9">
        <w:rPr>
          <w:rFonts w:ascii="Bookman Old Style" w:eastAsia="Times New Roman" w:hAnsi="Bookman Old Style" w:cs="Courier New"/>
          <w:i/>
          <w:iCs/>
          <w:color w:val="19191A"/>
          <w:lang w:eastAsia="it-IT"/>
        </w:rPr>
        <w:t xml:space="preserve">, </w:t>
      </w:r>
      <w:r w:rsidR="00CF6789">
        <w:rPr>
          <w:rFonts w:ascii="Bookman Old Style" w:eastAsia="Times New Roman" w:hAnsi="Bookman Old Style" w:cs="Courier New"/>
          <w:i/>
          <w:iCs/>
          <w:color w:val="19191A"/>
          <w:lang w:eastAsia="it-IT"/>
        </w:rPr>
        <w:t xml:space="preserve">facoltà </w:t>
      </w:r>
      <w:r w:rsidR="000976D9" w:rsidRPr="000976D9">
        <w:rPr>
          <w:rFonts w:ascii="Bookman Old Style" w:eastAsia="Times New Roman" w:hAnsi="Bookman Old Style" w:cs="Courier New"/>
          <w:i/>
          <w:iCs/>
          <w:color w:val="19191A"/>
          <w:lang w:eastAsia="it-IT"/>
        </w:rPr>
        <w:t>non menzionata dall’attuale formulazione normativa</w:t>
      </w:r>
      <w:r w:rsidR="009D00EB" w:rsidRPr="00A20489">
        <w:rPr>
          <w:rFonts w:ascii="Bookman Old Style" w:eastAsia="Times New Roman" w:hAnsi="Bookman Old Style" w:cs="Courier New"/>
          <w:i/>
          <w:iCs/>
          <w:color w:val="19191A"/>
          <w:lang w:eastAsia="it-IT"/>
        </w:rPr>
        <w:t>.</w:t>
      </w:r>
    </w:p>
    <w:p w14:paraId="6F7E13A3" w14:textId="25D685A2" w:rsidR="00F704C4" w:rsidRPr="00A20489" w:rsidRDefault="00F704C4" w:rsidP="00214126">
      <w:pPr>
        <w:spacing w:after="80"/>
        <w:jc w:val="both"/>
        <w:rPr>
          <w:rFonts w:ascii="Bookman Old Style" w:eastAsia="Times New Roman" w:hAnsi="Bookman Old Style" w:cs="Courier New"/>
          <w:i/>
          <w:iCs/>
          <w:color w:val="19191A"/>
          <w:lang w:eastAsia="it-IT"/>
        </w:rPr>
      </w:pPr>
      <w:r>
        <w:rPr>
          <w:rFonts w:ascii="Bookman Old Style" w:eastAsia="Times New Roman" w:hAnsi="Bookman Old Style" w:cs="Courier New"/>
          <w:i/>
          <w:iCs/>
          <w:color w:val="19191A"/>
          <w:lang w:eastAsia="it-IT"/>
        </w:rPr>
        <w:t>Le norme proposte non comportano oneri per la finanza pubblica.</w:t>
      </w:r>
    </w:p>
    <w:p w14:paraId="1189C547" w14:textId="77777777" w:rsidR="004C53FA" w:rsidRDefault="004C53FA" w:rsidP="00214126">
      <w:pPr>
        <w:spacing w:after="80"/>
        <w:jc w:val="both"/>
        <w:rPr>
          <w:rFonts w:ascii="Bookman Old Style" w:hAnsi="Bookman Old Style"/>
          <w:i/>
          <w:iCs/>
        </w:rPr>
      </w:pPr>
    </w:p>
    <w:p w14:paraId="065802DC" w14:textId="77777777" w:rsidR="009735C5" w:rsidRDefault="009735C5" w:rsidP="00214126">
      <w:pPr>
        <w:spacing w:after="80"/>
        <w:jc w:val="both"/>
        <w:rPr>
          <w:rFonts w:ascii="Bookman Old Style" w:hAnsi="Bookman Old Style"/>
          <w:i/>
          <w:iCs/>
        </w:rPr>
      </w:pPr>
    </w:p>
    <w:p w14:paraId="2E8AF2FB" w14:textId="77777777" w:rsidR="009735C5" w:rsidRDefault="009735C5" w:rsidP="00214126">
      <w:pPr>
        <w:spacing w:after="80"/>
        <w:jc w:val="both"/>
        <w:rPr>
          <w:rFonts w:ascii="Bookman Old Style" w:hAnsi="Bookman Old Style"/>
          <w:i/>
          <w:iCs/>
        </w:rPr>
      </w:pPr>
    </w:p>
    <w:p w14:paraId="4F9D1A66" w14:textId="77777777" w:rsidR="009735C5" w:rsidRPr="00A20489" w:rsidRDefault="009735C5" w:rsidP="00214126">
      <w:pPr>
        <w:spacing w:after="80"/>
        <w:jc w:val="both"/>
        <w:rPr>
          <w:rFonts w:ascii="Bookman Old Style" w:hAnsi="Bookman Old Style"/>
          <w:i/>
          <w:iCs/>
        </w:rPr>
      </w:pPr>
    </w:p>
    <w:p w14:paraId="65643F64" w14:textId="7A9AC32A" w:rsidR="00663886" w:rsidRPr="00A20489" w:rsidRDefault="00A65C0D"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41" w:name="_Toc121214277"/>
      <w:r w:rsidRPr="00A20489">
        <w:rPr>
          <w:rFonts w:ascii="Bookman Old Style" w:hAnsi="Bookman Old Style"/>
          <w:b/>
          <w:bCs/>
          <w:color w:val="2F5496" w:themeColor="accent1" w:themeShade="BF"/>
          <w:sz w:val="22"/>
          <w:szCs w:val="22"/>
        </w:rPr>
        <w:t>Ristoro tagli ex dl 95/2012 per servizi eccedenti la normale operatività comunale (case di riposo/idrico/ discarica)</w:t>
      </w:r>
      <w:bookmarkEnd w:id="41"/>
      <w:r w:rsidRPr="00A20489">
        <w:rPr>
          <w:rFonts w:ascii="Bookman Old Style" w:hAnsi="Bookman Old Style"/>
          <w:b/>
          <w:bCs/>
          <w:color w:val="2F5496" w:themeColor="accent1" w:themeShade="BF"/>
          <w:sz w:val="22"/>
          <w:szCs w:val="22"/>
        </w:rPr>
        <w:t xml:space="preserve"> </w:t>
      </w:r>
    </w:p>
    <w:p w14:paraId="3DFFA0C0" w14:textId="77777777" w:rsidR="009E0A69" w:rsidRPr="009E0A69" w:rsidRDefault="009E0A69" w:rsidP="009E0A69">
      <w:pPr>
        <w:spacing w:after="80"/>
        <w:rPr>
          <w:rFonts w:ascii="Bookman Old Style" w:eastAsia="Times New Roman" w:hAnsi="Bookman Old Style" w:cs="Courier New"/>
          <w:i/>
          <w:iCs/>
          <w:lang w:eastAsia="it-IT"/>
        </w:rPr>
      </w:pPr>
      <w:r w:rsidRPr="009E0A69">
        <w:rPr>
          <w:rFonts w:ascii="Bookman Old Style" w:eastAsia="Times New Roman" w:hAnsi="Bookman Old Style" w:cs="Courier New"/>
          <w:i/>
          <w:iCs/>
          <w:lang w:eastAsia="it-IT"/>
        </w:rPr>
        <w:t>Dopo l’art. 146 aggiungere il seguente art. 146-bis:</w:t>
      </w:r>
    </w:p>
    <w:p w14:paraId="12C6B2C8" w14:textId="77777777" w:rsidR="009E0A69" w:rsidRPr="00E066AE" w:rsidRDefault="009E0A69" w:rsidP="00E066AE">
      <w:pPr>
        <w:spacing w:after="80"/>
        <w:jc w:val="both"/>
        <w:rPr>
          <w:rFonts w:ascii="Bookman Old Style" w:eastAsia="Times New Roman" w:hAnsi="Bookman Old Style" w:cs="Courier New"/>
          <w:lang w:eastAsia="it-IT"/>
        </w:rPr>
      </w:pPr>
      <w:r w:rsidRPr="00E066AE">
        <w:rPr>
          <w:rFonts w:ascii="Bookman Old Style" w:eastAsia="Times New Roman" w:hAnsi="Bookman Old Style" w:cs="Courier New"/>
          <w:lang w:eastAsia="it-IT"/>
        </w:rPr>
        <w:t>Art. 146-bis (Contributo a compensazione di tagli da spending review eccedenti la normale operatività dei Comuni esercenti attività di area vasta)</w:t>
      </w:r>
    </w:p>
    <w:p w14:paraId="6BC54BA4" w14:textId="77777777" w:rsidR="009E0A69" w:rsidRPr="00E066AE" w:rsidRDefault="009E0A69" w:rsidP="00E066AE">
      <w:pPr>
        <w:spacing w:after="80"/>
        <w:jc w:val="both"/>
        <w:rPr>
          <w:rFonts w:ascii="Bookman Old Style" w:eastAsia="Times New Roman" w:hAnsi="Bookman Old Style" w:cs="Courier New"/>
          <w:lang w:eastAsia="it-IT"/>
        </w:rPr>
      </w:pPr>
      <w:r w:rsidRPr="00E066AE">
        <w:rPr>
          <w:rFonts w:ascii="Bookman Old Style" w:eastAsia="Times New Roman" w:hAnsi="Bookman Old Style" w:cs="Courier New"/>
          <w:lang w:eastAsia="it-IT"/>
        </w:rPr>
        <w:t xml:space="preserve">1. A decorrere dall’anno 2023, un importo pari a 15 milioni di euro annui è assegnato ai comuni di cui all’articolo 30, comma 14-quinquies, del decreto legge 30 aprile 2019, n. 34, convertito con modificazioni dalla legge 28 giugno 2019, n. 58, e ai comuni fino a 15mila abitanti che hanno sostenuto costi di discarica per il trattamento di siti in condizioni di “post mortem”, ovvero costi derivanti dalla gestione associata di servizi sociali, sulla cui base hanno subito un maggiore taglio, riconducibile a tali costi, in applicazione dell’articolo 16 del decreto legge 6 luglio 2012, n. 95, convertito, con modificazioni, dalla legge 7 agosto 2012, n. 135, di incidenza superiore al 18 per cento sulla spesa corrente media risultante dai certificati ai rendiconti del triennio 2010-2012. </w:t>
      </w:r>
    </w:p>
    <w:p w14:paraId="0AF3BA22" w14:textId="77777777" w:rsidR="009E0A69" w:rsidRPr="00E066AE" w:rsidRDefault="009E0A69" w:rsidP="00E066AE">
      <w:pPr>
        <w:spacing w:after="80"/>
        <w:jc w:val="both"/>
        <w:rPr>
          <w:rFonts w:ascii="Bookman Old Style" w:eastAsia="Times New Roman" w:hAnsi="Bookman Old Style" w:cs="Courier New"/>
          <w:lang w:eastAsia="it-IT"/>
        </w:rPr>
      </w:pPr>
      <w:r w:rsidRPr="00E066AE">
        <w:rPr>
          <w:rFonts w:ascii="Bookman Old Style" w:eastAsia="Times New Roman" w:hAnsi="Bookman Old Style" w:cs="Courier New"/>
          <w:lang w:eastAsia="it-IT"/>
        </w:rPr>
        <w:t xml:space="preserve">2. I comuni beneficiari del contributo di cui al comma 1 sono individuati sulla base di una istruttoria condotta dal Ministero dell’Interno e dal Ministero dell’Economia e delle finanze con il supporto della Commissione tecnica per i fabbisogni standard, anche avvalendosi, in caso di necessità, di apposite certificazioni richieste agli enti interessati. Il riparto dei fondi è determinato mediante uno o più decreti del Ministero dell’Interno di concerto con il Ministero dell’Economia e delle finanze, previo accordo presso la Conferenza Stato-città e autonomie locali, di cui il primo da emanarsi entro il 15 marzo 2023 e gli eventuali successivi da emanarsi comunque entro il 30 settembre 2023. </w:t>
      </w:r>
    </w:p>
    <w:p w14:paraId="43385F07" w14:textId="77777777" w:rsidR="009E0A69" w:rsidRPr="00E066AE" w:rsidRDefault="009E0A69" w:rsidP="00E066AE">
      <w:pPr>
        <w:spacing w:after="80"/>
        <w:jc w:val="both"/>
        <w:rPr>
          <w:rFonts w:ascii="Bookman Old Style" w:eastAsia="Times New Roman" w:hAnsi="Bookman Old Style" w:cs="Courier New"/>
          <w:lang w:eastAsia="it-IT"/>
        </w:rPr>
      </w:pPr>
      <w:r w:rsidRPr="00E066AE">
        <w:rPr>
          <w:rFonts w:ascii="Bookman Old Style" w:eastAsia="Times New Roman" w:hAnsi="Bookman Old Style" w:cs="Courier New"/>
          <w:lang w:eastAsia="it-IT"/>
        </w:rPr>
        <w:t>3. Agli oneri derivanti dal presente articolo, pari a 15 milioni di euro annui a decorrere dal 2023, si provvede riducendo il fondo di cui al comma 4 dell’articolo 152.</w:t>
      </w:r>
    </w:p>
    <w:p w14:paraId="64A25D9E" w14:textId="517F1A91" w:rsidR="009E0A69" w:rsidRPr="009E0A69" w:rsidRDefault="009E0A69" w:rsidP="009E0A69">
      <w:pPr>
        <w:spacing w:after="80"/>
        <w:jc w:val="center"/>
        <w:rPr>
          <w:rFonts w:ascii="Bookman Old Style" w:eastAsia="Times New Roman" w:hAnsi="Bookman Old Style" w:cs="Courier New"/>
          <w:b/>
          <w:bCs/>
          <w:lang w:eastAsia="it-IT"/>
        </w:rPr>
      </w:pPr>
      <w:r w:rsidRPr="009E0A69">
        <w:rPr>
          <w:rFonts w:ascii="Bookman Old Style" w:eastAsia="Times New Roman" w:hAnsi="Bookman Old Style" w:cs="Courier New"/>
          <w:b/>
          <w:bCs/>
          <w:lang w:eastAsia="it-IT"/>
        </w:rPr>
        <w:t>Motivazione</w:t>
      </w:r>
    </w:p>
    <w:p w14:paraId="43EE5A94" w14:textId="77777777" w:rsidR="009E0A69" w:rsidRPr="009E0A69" w:rsidRDefault="009E0A69" w:rsidP="009E0A69">
      <w:pPr>
        <w:spacing w:after="80"/>
        <w:jc w:val="both"/>
        <w:rPr>
          <w:rFonts w:ascii="Bookman Old Style" w:eastAsia="Times New Roman" w:hAnsi="Bookman Old Style" w:cs="Courier New"/>
          <w:i/>
          <w:iCs/>
          <w:lang w:eastAsia="it-IT"/>
        </w:rPr>
      </w:pPr>
      <w:r w:rsidRPr="009E0A69">
        <w:rPr>
          <w:rFonts w:ascii="Bookman Old Style" w:eastAsia="Times New Roman" w:hAnsi="Bookman Old Style" w:cs="Courier New"/>
          <w:i/>
          <w:iCs/>
          <w:lang w:eastAsia="it-IT"/>
        </w:rPr>
        <w:t xml:space="preserve">Il comma 14-quinquies del decreto “crescita”, ha stanziato risorse una tantum per l’anno 2029 a favore dei comuni fino a 10mila abitanti che hanno subito tagli abnormi nell’ambito del Fondo di solidarietà comunale, in applicazione del dl 95 del 2012 (spending review), con riferimento a spese per beni e servizi intermedi riconducibili a servizi di area vasta di natura socioassistenziale o di fornitura di servizi idrici integrati. La norma di fatto riconosceva che la base di riferimento dei tagli intervenuti su tali servizi era sproporzionata rispetto alle normali capacità di spesa di Comuni di analoghe dimensioni, in quanto comprendeva quote di spesa riguardanti servizi particolari relativi ad utenze sovracomunali e ampiamente coperti da corrispondenti entrate specifiche </w:t>
      </w:r>
    </w:p>
    <w:p w14:paraId="2CFC414B" w14:textId="2A15B3FD" w:rsidR="0041037B" w:rsidRDefault="009E0A69" w:rsidP="009E0A69">
      <w:pPr>
        <w:spacing w:after="80"/>
        <w:jc w:val="both"/>
        <w:rPr>
          <w:rFonts w:ascii="Bookman Old Style" w:hAnsi="Bookman Old Style"/>
          <w:highlight w:val="yellow"/>
        </w:rPr>
      </w:pPr>
      <w:r w:rsidRPr="009E0A69">
        <w:rPr>
          <w:rFonts w:ascii="Bookman Old Style" w:eastAsia="Times New Roman" w:hAnsi="Bookman Old Style" w:cs="Courier New"/>
          <w:i/>
          <w:iCs/>
          <w:lang w:eastAsia="it-IT"/>
        </w:rPr>
        <w:t>La proposta emendativa prevede di riprendere i criteri di tale ristoro, destinando un importo pari a 15 milioni di euro ai comuni di piccola e media dimensione già beneficiari del contributo di cui al comma 14-quinquies, art. 30, del dl n. 34/2019, con l’aggiunta dei comuni che hanno sostenuto costi di discarica per il trattamento di siti in condizioni di “post mortem” e di servizi sociali svolti in funzione di capofila, sulla cui base hanno subito un taglio maggiore, riconducibile a tali costi. Il contributo è assegnato e ripartito sulla base di un’istruttoria tecnica alla quale è chiamata a contribuire la CTFS, mediante uno o più decreti di cui il primo da adottarsi entro il 15 marzo 2023previo accordo presso la Conferenza Stato-città.</w:t>
      </w:r>
    </w:p>
    <w:p w14:paraId="79F23785" w14:textId="77777777" w:rsidR="00212178" w:rsidRPr="00A20489" w:rsidRDefault="00212178" w:rsidP="00FA581E">
      <w:pPr>
        <w:spacing w:after="80"/>
        <w:rPr>
          <w:rFonts w:ascii="Bookman Old Style" w:hAnsi="Bookman Old Style"/>
          <w:highlight w:val="yellow"/>
        </w:rPr>
      </w:pPr>
    </w:p>
    <w:p w14:paraId="2A09A2C0" w14:textId="5DB43324" w:rsidR="00CE6E11" w:rsidRPr="00A20489" w:rsidRDefault="009B6EDD"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42" w:name="_Toc121214278"/>
      <w:r w:rsidRPr="002350B2">
        <w:rPr>
          <w:rFonts w:ascii="Bookman Old Style" w:hAnsi="Bookman Old Style"/>
          <w:b/>
          <w:bCs/>
          <w:color w:val="2F5496" w:themeColor="accent1" w:themeShade="BF"/>
          <w:sz w:val="22"/>
          <w:szCs w:val="22"/>
        </w:rPr>
        <w:t xml:space="preserve">Sostegno agli oneri sostenuti dai Comuni fino a </w:t>
      </w:r>
      <w:r w:rsidR="00775091" w:rsidRPr="002350B2">
        <w:rPr>
          <w:rFonts w:ascii="Bookman Old Style" w:hAnsi="Bookman Old Style"/>
          <w:b/>
          <w:bCs/>
          <w:color w:val="2F5496" w:themeColor="accent1" w:themeShade="BF"/>
          <w:sz w:val="22"/>
          <w:szCs w:val="22"/>
        </w:rPr>
        <w:t xml:space="preserve">5 </w:t>
      </w:r>
      <w:r w:rsidRPr="002350B2">
        <w:rPr>
          <w:rFonts w:ascii="Bookman Old Style" w:hAnsi="Bookman Old Style"/>
          <w:b/>
          <w:bCs/>
          <w:color w:val="2F5496" w:themeColor="accent1" w:themeShade="BF"/>
          <w:sz w:val="22"/>
          <w:szCs w:val="22"/>
        </w:rPr>
        <w:t>mila abitanti per sentenze di affidamento di minori o famiglie in difficoltà</w:t>
      </w:r>
      <w:bookmarkEnd w:id="42"/>
    </w:p>
    <w:p w14:paraId="1D420112" w14:textId="2350212C" w:rsidR="0082486B" w:rsidRPr="00A20489" w:rsidRDefault="0082486B" w:rsidP="0082486B">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65 aggiungere il seguente art. 65 bis</w:t>
      </w:r>
    </w:p>
    <w:p w14:paraId="0133048B" w14:textId="651ACC82" w:rsidR="0082486B" w:rsidRPr="009B7034" w:rsidRDefault="0060028B" w:rsidP="009B7034">
      <w:pPr>
        <w:pStyle w:val="PreformattatoHTML"/>
        <w:shd w:val="clear" w:color="auto" w:fill="FFFFFF"/>
        <w:spacing w:after="80" w:line="259" w:lineRule="auto"/>
        <w:jc w:val="center"/>
        <w:rPr>
          <w:rStyle w:val="Enfasigrassetto"/>
          <w:rFonts w:ascii="Bookman Old Style" w:hAnsi="Bookman Old Style"/>
          <w:b w:val="0"/>
          <w:bCs w:val="0"/>
          <w:i/>
          <w:iCs/>
          <w:color w:val="19191A"/>
          <w:sz w:val="22"/>
          <w:szCs w:val="22"/>
        </w:rPr>
      </w:pPr>
      <w:r w:rsidRPr="009B7034">
        <w:rPr>
          <w:rStyle w:val="Enfasigrassetto"/>
          <w:rFonts w:ascii="Bookman Old Style" w:hAnsi="Bookman Old Style"/>
          <w:b w:val="0"/>
          <w:bCs w:val="0"/>
          <w:i/>
          <w:iCs/>
          <w:color w:val="19191A"/>
          <w:sz w:val="22"/>
          <w:szCs w:val="22"/>
        </w:rPr>
        <w:t>Art. 65-bis (Contributo a</w:t>
      </w:r>
      <w:r w:rsidR="002F6493" w:rsidRPr="009B7034">
        <w:rPr>
          <w:rStyle w:val="Enfasigrassetto"/>
          <w:rFonts w:ascii="Bookman Old Style" w:hAnsi="Bookman Old Style"/>
          <w:b w:val="0"/>
          <w:bCs w:val="0"/>
          <w:i/>
          <w:iCs/>
          <w:color w:val="19191A"/>
          <w:sz w:val="22"/>
          <w:szCs w:val="22"/>
        </w:rPr>
        <w:t>gli oneri sostenuti dai piccoli comuni per sentenze di affidamento di minori o famigli in difficoltà</w:t>
      </w:r>
      <w:r w:rsidR="009B7034" w:rsidRPr="009B7034">
        <w:rPr>
          <w:rStyle w:val="Enfasigrassetto"/>
          <w:rFonts w:ascii="Bookman Old Style" w:hAnsi="Bookman Old Style"/>
          <w:b w:val="0"/>
          <w:bCs w:val="0"/>
          <w:i/>
          <w:iCs/>
          <w:color w:val="19191A"/>
          <w:sz w:val="22"/>
          <w:szCs w:val="22"/>
        </w:rPr>
        <w:t>)</w:t>
      </w:r>
    </w:p>
    <w:p w14:paraId="7C7432E3" w14:textId="728C089B" w:rsidR="00C12EFB" w:rsidRPr="00A20489" w:rsidRDefault="00C12EFB" w:rsidP="00AA5B71">
      <w:pPr>
        <w:pStyle w:val="PreformattatoHTML"/>
        <w:shd w:val="clear" w:color="auto" w:fill="FFFFFF"/>
        <w:spacing w:after="80" w:line="259" w:lineRule="auto"/>
        <w:jc w:val="both"/>
        <w:rPr>
          <w:rStyle w:val="Enfasigrassetto"/>
          <w:rFonts w:ascii="Bookman Old Style" w:hAnsi="Bookman Old Style"/>
          <w:b w:val="0"/>
          <w:bCs w:val="0"/>
          <w:color w:val="19191A"/>
          <w:sz w:val="22"/>
          <w:szCs w:val="22"/>
        </w:rPr>
      </w:pPr>
      <w:r w:rsidRPr="00A20489">
        <w:rPr>
          <w:rStyle w:val="Enfasigrassetto"/>
          <w:rFonts w:ascii="Bookman Old Style" w:hAnsi="Bookman Old Style"/>
          <w:b w:val="0"/>
          <w:bCs w:val="0"/>
          <w:color w:val="19191A"/>
          <w:sz w:val="22"/>
          <w:szCs w:val="22"/>
        </w:rPr>
        <w:t xml:space="preserve">1. </w:t>
      </w:r>
      <w:r w:rsidR="00F31253" w:rsidRPr="00A20489">
        <w:rPr>
          <w:rStyle w:val="Enfasigrassetto"/>
          <w:rFonts w:ascii="Bookman Old Style" w:hAnsi="Bookman Old Style"/>
          <w:b w:val="0"/>
          <w:bCs w:val="0"/>
          <w:color w:val="19191A"/>
          <w:sz w:val="22"/>
          <w:szCs w:val="22"/>
        </w:rPr>
        <w:t xml:space="preserve">Nelle more della organica definizione delle modalità di finanziamento delle spese degli enti locali di carattere sociale determinate </w:t>
      </w:r>
      <w:r w:rsidR="009875D2" w:rsidRPr="00A20489">
        <w:rPr>
          <w:rStyle w:val="Enfasigrassetto"/>
          <w:rFonts w:ascii="Bookman Old Style" w:hAnsi="Bookman Old Style"/>
          <w:b w:val="0"/>
          <w:bCs w:val="0"/>
          <w:color w:val="19191A"/>
          <w:sz w:val="22"/>
          <w:szCs w:val="22"/>
        </w:rPr>
        <w:t>da sentenze della giustizia minorile, a</w:t>
      </w:r>
      <w:r w:rsidRPr="00A20489">
        <w:rPr>
          <w:rStyle w:val="Enfasigrassetto"/>
          <w:rFonts w:ascii="Bookman Old Style" w:hAnsi="Bookman Old Style"/>
          <w:b w:val="0"/>
          <w:bCs w:val="0"/>
          <w:color w:val="19191A"/>
          <w:sz w:val="22"/>
          <w:szCs w:val="22"/>
        </w:rPr>
        <w:t>l fine di contribuire alle spese sostenute</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dai</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comuni</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con</w:t>
      </w:r>
      <w:r w:rsidR="004834C7"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 xml:space="preserve">popolazione fino a </w:t>
      </w:r>
      <w:r w:rsidR="006B2B7B" w:rsidRPr="00A20489">
        <w:rPr>
          <w:rStyle w:val="Enfasigrassetto"/>
          <w:rFonts w:ascii="Bookman Old Style" w:hAnsi="Bookman Old Style"/>
          <w:b w:val="0"/>
          <w:bCs w:val="0"/>
          <w:color w:val="19191A"/>
          <w:sz w:val="22"/>
          <w:szCs w:val="22"/>
        </w:rPr>
        <w:t>5</w:t>
      </w:r>
      <w:r w:rsidRPr="00A20489">
        <w:rPr>
          <w:rStyle w:val="Enfasigrassetto"/>
          <w:rFonts w:ascii="Bookman Old Style" w:hAnsi="Bookman Old Style"/>
          <w:b w:val="0"/>
          <w:bCs w:val="0"/>
          <w:color w:val="19191A"/>
          <w:sz w:val="22"/>
          <w:szCs w:val="22"/>
        </w:rPr>
        <w:t>.000 abitanti per l'assistenza ai</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minori</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per</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i</w:t>
      </w:r>
      <w:r w:rsidR="004834C7"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quali sia stato disposto l'allontanamento dalla</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casa</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familiare</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con</w:t>
      </w:r>
      <w:r w:rsidR="004834C7"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 xml:space="preserve">provvedimento </w:t>
      </w:r>
      <w:r w:rsidR="00463E08" w:rsidRPr="00A20489">
        <w:rPr>
          <w:rStyle w:val="Enfasigrassetto"/>
          <w:rFonts w:ascii="Bookman Old Style" w:hAnsi="Bookman Old Style"/>
          <w:b w:val="0"/>
          <w:bCs w:val="0"/>
          <w:color w:val="19191A"/>
          <w:sz w:val="22"/>
          <w:szCs w:val="22"/>
        </w:rPr>
        <w:t>dell’autorità</w:t>
      </w:r>
      <w:r w:rsidRPr="00A20489">
        <w:rPr>
          <w:rStyle w:val="Enfasigrassetto"/>
          <w:rFonts w:ascii="Bookman Old Style" w:hAnsi="Bookman Old Style"/>
          <w:b w:val="0"/>
          <w:bCs w:val="0"/>
          <w:color w:val="19191A"/>
          <w:sz w:val="22"/>
          <w:szCs w:val="22"/>
        </w:rPr>
        <w:t xml:space="preserve"> giudiziaria, </w:t>
      </w:r>
      <w:r w:rsidR="00463E08" w:rsidRPr="00A20489">
        <w:rPr>
          <w:rStyle w:val="Enfasigrassetto"/>
          <w:rFonts w:ascii="Bookman Old Style" w:hAnsi="Bookman Old Style"/>
          <w:b w:val="0"/>
          <w:bCs w:val="0"/>
          <w:color w:val="19191A"/>
          <w:sz w:val="22"/>
          <w:szCs w:val="22"/>
        </w:rPr>
        <w:t>è</w:t>
      </w:r>
      <w:r w:rsidRPr="00A20489">
        <w:rPr>
          <w:rStyle w:val="Enfasigrassetto"/>
          <w:rFonts w:ascii="Bookman Old Style" w:hAnsi="Bookman Old Style"/>
          <w:b w:val="0"/>
          <w:bCs w:val="0"/>
          <w:color w:val="19191A"/>
          <w:sz w:val="22"/>
          <w:szCs w:val="22"/>
        </w:rPr>
        <w:t xml:space="preserve"> istituito un fondo nello</w:t>
      </w:r>
      <w:r w:rsidR="004834C7"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stato di previsione del Ministero dell'interno, con una dotazione</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di</w:t>
      </w:r>
      <w:r w:rsidR="004834C7"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3</w:t>
      </w:r>
      <w:r w:rsidR="00463E08" w:rsidRPr="00A20489">
        <w:rPr>
          <w:rStyle w:val="Enfasigrassetto"/>
          <w:rFonts w:ascii="Bookman Old Style" w:hAnsi="Bookman Old Style"/>
          <w:b w:val="0"/>
          <w:bCs w:val="0"/>
          <w:color w:val="19191A"/>
          <w:sz w:val="22"/>
          <w:szCs w:val="22"/>
        </w:rPr>
        <w:t>0</w:t>
      </w:r>
      <w:r w:rsidRPr="00A20489">
        <w:rPr>
          <w:rStyle w:val="Enfasigrassetto"/>
          <w:rFonts w:ascii="Bookman Old Style" w:hAnsi="Bookman Old Style"/>
          <w:b w:val="0"/>
          <w:bCs w:val="0"/>
          <w:color w:val="19191A"/>
          <w:sz w:val="22"/>
          <w:szCs w:val="22"/>
        </w:rPr>
        <w:t xml:space="preserve"> milioni di euro </w:t>
      </w:r>
      <w:r w:rsidR="001023D5" w:rsidRPr="00A20489">
        <w:rPr>
          <w:rStyle w:val="Enfasigrassetto"/>
          <w:rFonts w:ascii="Bookman Old Style" w:hAnsi="Bookman Old Style"/>
          <w:b w:val="0"/>
          <w:bCs w:val="0"/>
          <w:color w:val="19191A"/>
          <w:sz w:val="22"/>
          <w:szCs w:val="22"/>
        </w:rPr>
        <w:t>annui per ciascuno degli anni dal 2023 al 202</w:t>
      </w:r>
      <w:r w:rsidR="00FF2488" w:rsidRPr="00A20489">
        <w:rPr>
          <w:rStyle w:val="Enfasigrassetto"/>
          <w:rFonts w:ascii="Bookman Old Style" w:hAnsi="Bookman Old Style"/>
          <w:b w:val="0"/>
          <w:bCs w:val="0"/>
          <w:color w:val="19191A"/>
          <w:sz w:val="22"/>
          <w:szCs w:val="22"/>
        </w:rPr>
        <w:t>7</w:t>
      </w:r>
      <w:r w:rsidRPr="00A20489">
        <w:rPr>
          <w:rStyle w:val="Enfasigrassetto"/>
          <w:rFonts w:ascii="Bookman Old Style" w:hAnsi="Bookman Old Style"/>
          <w:b w:val="0"/>
          <w:bCs w:val="0"/>
          <w:color w:val="19191A"/>
          <w:sz w:val="22"/>
          <w:szCs w:val="22"/>
        </w:rPr>
        <w:t xml:space="preserve">. </w:t>
      </w:r>
    </w:p>
    <w:p w14:paraId="12752D84" w14:textId="10B57A48" w:rsidR="00C4075A" w:rsidRPr="00A20489" w:rsidRDefault="00C12EFB" w:rsidP="00DA1674">
      <w:pPr>
        <w:pStyle w:val="PreformattatoHTML"/>
        <w:shd w:val="clear" w:color="auto" w:fill="FFFFFF"/>
        <w:spacing w:after="80" w:line="259" w:lineRule="auto"/>
        <w:jc w:val="both"/>
        <w:rPr>
          <w:rStyle w:val="Enfasigrassetto"/>
          <w:rFonts w:ascii="Bookman Old Style" w:hAnsi="Bookman Old Style"/>
          <w:b w:val="0"/>
          <w:bCs w:val="0"/>
          <w:color w:val="19191A"/>
          <w:sz w:val="22"/>
          <w:szCs w:val="22"/>
        </w:rPr>
      </w:pPr>
      <w:r w:rsidRPr="00A20489">
        <w:rPr>
          <w:rStyle w:val="Enfasigrassetto"/>
          <w:rFonts w:ascii="Bookman Old Style" w:hAnsi="Bookman Old Style"/>
          <w:b w:val="0"/>
          <w:bCs w:val="0"/>
          <w:color w:val="19191A"/>
          <w:sz w:val="22"/>
          <w:szCs w:val="22"/>
        </w:rPr>
        <w:t xml:space="preserve">2. </w:t>
      </w:r>
      <w:r w:rsidRPr="00A20489">
        <w:rPr>
          <w:rStyle w:val="Enfasigrassetto"/>
          <w:rFonts w:ascii="Bookman Old Style" w:hAnsi="Bookman Old Style"/>
          <w:b w:val="0"/>
          <w:bCs w:val="0"/>
          <w:sz w:val="22"/>
          <w:szCs w:val="22"/>
        </w:rPr>
        <w:t xml:space="preserve">Il fondo di cui al comma 1 </w:t>
      </w:r>
      <w:r w:rsidR="005E49A1" w:rsidRPr="00A20489">
        <w:rPr>
          <w:rStyle w:val="Enfasigrassetto"/>
          <w:rFonts w:ascii="Bookman Old Style" w:hAnsi="Bookman Old Style"/>
          <w:b w:val="0"/>
          <w:bCs w:val="0"/>
          <w:sz w:val="22"/>
          <w:szCs w:val="22"/>
        </w:rPr>
        <w:t>è</w:t>
      </w:r>
      <w:r w:rsidRPr="00A20489">
        <w:rPr>
          <w:rStyle w:val="Enfasigrassetto"/>
          <w:rFonts w:ascii="Bookman Old Style" w:hAnsi="Bookman Old Style"/>
          <w:b w:val="0"/>
          <w:bCs w:val="0"/>
          <w:sz w:val="22"/>
          <w:szCs w:val="22"/>
        </w:rPr>
        <w:t xml:space="preserve"> ripartito </w:t>
      </w:r>
      <w:r w:rsidR="00F41243" w:rsidRPr="00A20489">
        <w:rPr>
          <w:rStyle w:val="Enfasigrassetto"/>
          <w:rFonts w:ascii="Bookman Old Style" w:hAnsi="Bookman Old Style"/>
          <w:b w:val="0"/>
          <w:bCs w:val="0"/>
          <w:sz w:val="22"/>
          <w:szCs w:val="22"/>
        </w:rPr>
        <w:t xml:space="preserve">annualmente </w:t>
      </w:r>
      <w:r w:rsidRPr="00A20489">
        <w:rPr>
          <w:rStyle w:val="Enfasigrassetto"/>
          <w:rFonts w:ascii="Bookman Old Style" w:hAnsi="Bookman Old Style"/>
          <w:b w:val="0"/>
          <w:bCs w:val="0"/>
          <w:sz w:val="22"/>
          <w:szCs w:val="22"/>
        </w:rPr>
        <w:t>con decreto del Ministro</w:t>
      </w:r>
      <w:r w:rsidR="00F41243" w:rsidRPr="00A20489">
        <w:rPr>
          <w:rStyle w:val="Enfasigrassetto"/>
          <w:rFonts w:ascii="Bookman Old Style" w:hAnsi="Bookman Old Style"/>
          <w:b w:val="0"/>
          <w:bCs w:val="0"/>
          <w:sz w:val="22"/>
          <w:szCs w:val="22"/>
        </w:rPr>
        <w:t xml:space="preserve"> </w:t>
      </w:r>
      <w:r w:rsidRPr="00A20489">
        <w:rPr>
          <w:rStyle w:val="Enfasigrassetto"/>
          <w:rFonts w:ascii="Bookman Old Style" w:hAnsi="Bookman Old Style"/>
          <w:b w:val="0"/>
          <w:bCs w:val="0"/>
          <w:sz w:val="22"/>
          <w:szCs w:val="22"/>
        </w:rPr>
        <w:t>dell'interno, di concerto</w:t>
      </w:r>
      <w:r w:rsidR="006B2B7B" w:rsidRPr="00A20489">
        <w:rPr>
          <w:rStyle w:val="Enfasigrassetto"/>
          <w:rFonts w:ascii="Bookman Old Style" w:hAnsi="Bookman Old Style"/>
          <w:b w:val="0"/>
          <w:bCs w:val="0"/>
          <w:sz w:val="22"/>
          <w:szCs w:val="22"/>
        </w:rPr>
        <w:t xml:space="preserve"> </w:t>
      </w:r>
      <w:r w:rsidRPr="00A20489">
        <w:rPr>
          <w:rStyle w:val="Enfasigrassetto"/>
          <w:rFonts w:ascii="Bookman Old Style" w:hAnsi="Bookman Old Style"/>
          <w:b w:val="0"/>
          <w:bCs w:val="0"/>
          <w:sz w:val="22"/>
          <w:szCs w:val="22"/>
        </w:rPr>
        <w:t>con</w:t>
      </w:r>
      <w:r w:rsidR="006B2B7B" w:rsidRPr="00A20489">
        <w:rPr>
          <w:rStyle w:val="Enfasigrassetto"/>
          <w:rFonts w:ascii="Bookman Old Style" w:hAnsi="Bookman Old Style"/>
          <w:b w:val="0"/>
          <w:bCs w:val="0"/>
          <w:sz w:val="22"/>
          <w:szCs w:val="22"/>
        </w:rPr>
        <w:t xml:space="preserve"> </w:t>
      </w:r>
      <w:r w:rsidRPr="00A20489">
        <w:rPr>
          <w:rStyle w:val="Enfasigrassetto"/>
          <w:rFonts w:ascii="Bookman Old Style" w:hAnsi="Bookman Old Style"/>
          <w:b w:val="0"/>
          <w:bCs w:val="0"/>
          <w:sz w:val="22"/>
          <w:szCs w:val="22"/>
        </w:rPr>
        <w:t>il</w:t>
      </w:r>
      <w:r w:rsidR="006B2B7B" w:rsidRPr="00A20489">
        <w:rPr>
          <w:rStyle w:val="Enfasigrassetto"/>
          <w:rFonts w:ascii="Bookman Old Style" w:hAnsi="Bookman Old Style"/>
          <w:b w:val="0"/>
          <w:bCs w:val="0"/>
          <w:sz w:val="22"/>
          <w:szCs w:val="22"/>
        </w:rPr>
        <w:t xml:space="preserve"> </w:t>
      </w:r>
      <w:r w:rsidRPr="00A20489">
        <w:rPr>
          <w:rStyle w:val="Enfasigrassetto"/>
          <w:rFonts w:ascii="Bookman Old Style" w:hAnsi="Bookman Old Style"/>
          <w:b w:val="0"/>
          <w:bCs w:val="0"/>
          <w:sz w:val="22"/>
          <w:szCs w:val="22"/>
        </w:rPr>
        <w:t>Ministro</w:t>
      </w:r>
      <w:r w:rsidR="006B2B7B" w:rsidRPr="00A20489">
        <w:rPr>
          <w:rStyle w:val="Enfasigrassetto"/>
          <w:rFonts w:ascii="Bookman Old Style" w:hAnsi="Bookman Old Style"/>
          <w:b w:val="0"/>
          <w:bCs w:val="0"/>
          <w:sz w:val="22"/>
          <w:szCs w:val="22"/>
        </w:rPr>
        <w:t xml:space="preserve"> </w:t>
      </w:r>
      <w:r w:rsidRPr="00A20489">
        <w:rPr>
          <w:rStyle w:val="Enfasigrassetto"/>
          <w:rFonts w:ascii="Bookman Old Style" w:hAnsi="Bookman Old Style"/>
          <w:b w:val="0"/>
          <w:bCs w:val="0"/>
          <w:sz w:val="22"/>
          <w:szCs w:val="22"/>
        </w:rPr>
        <w:t>dell'economia</w:t>
      </w:r>
      <w:r w:rsidR="006B2B7B" w:rsidRPr="00A20489">
        <w:rPr>
          <w:rStyle w:val="Enfasigrassetto"/>
          <w:rFonts w:ascii="Bookman Old Style" w:hAnsi="Bookman Old Style"/>
          <w:b w:val="0"/>
          <w:bCs w:val="0"/>
          <w:sz w:val="22"/>
          <w:szCs w:val="22"/>
        </w:rPr>
        <w:t xml:space="preserve"> </w:t>
      </w:r>
      <w:r w:rsidRPr="00A20489">
        <w:rPr>
          <w:rStyle w:val="Enfasigrassetto"/>
          <w:rFonts w:ascii="Bookman Old Style" w:hAnsi="Bookman Old Style"/>
          <w:b w:val="0"/>
          <w:bCs w:val="0"/>
          <w:sz w:val="22"/>
          <w:szCs w:val="22"/>
        </w:rPr>
        <w:t>e</w:t>
      </w:r>
      <w:r w:rsidR="006B2B7B" w:rsidRPr="00A20489">
        <w:rPr>
          <w:rStyle w:val="Enfasigrassetto"/>
          <w:rFonts w:ascii="Bookman Old Style" w:hAnsi="Bookman Old Style"/>
          <w:b w:val="0"/>
          <w:bCs w:val="0"/>
          <w:sz w:val="22"/>
          <w:szCs w:val="22"/>
        </w:rPr>
        <w:t xml:space="preserve"> </w:t>
      </w:r>
      <w:r w:rsidRPr="00A20489">
        <w:rPr>
          <w:rStyle w:val="Enfasigrassetto"/>
          <w:rFonts w:ascii="Bookman Old Style" w:hAnsi="Bookman Old Style"/>
          <w:b w:val="0"/>
          <w:bCs w:val="0"/>
          <w:sz w:val="22"/>
          <w:szCs w:val="22"/>
        </w:rPr>
        <w:t>delle</w:t>
      </w:r>
      <w:r w:rsidR="00BD0ECD" w:rsidRPr="00A20489">
        <w:rPr>
          <w:rStyle w:val="Enfasigrassetto"/>
          <w:rFonts w:ascii="Bookman Old Style" w:hAnsi="Bookman Old Style"/>
          <w:b w:val="0"/>
          <w:bCs w:val="0"/>
          <w:color w:val="19191A"/>
          <w:sz w:val="22"/>
          <w:szCs w:val="22"/>
        </w:rPr>
        <w:t xml:space="preserve"> </w:t>
      </w:r>
      <w:r w:rsidR="008458CB" w:rsidRPr="00A20489">
        <w:rPr>
          <w:rStyle w:val="Enfasigrassetto"/>
          <w:rFonts w:ascii="Bookman Old Style" w:hAnsi="Bookman Old Style"/>
          <w:b w:val="0"/>
          <w:bCs w:val="0"/>
          <w:color w:val="19191A"/>
          <w:sz w:val="22"/>
          <w:szCs w:val="22"/>
        </w:rPr>
        <w:t>F</w:t>
      </w:r>
      <w:r w:rsidRPr="00A20489">
        <w:rPr>
          <w:rStyle w:val="Enfasigrassetto"/>
          <w:rFonts w:ascii="Bookman Old Style" w:hAnsi="Bookman Old Style"/>
          <w:b w:val="0"/>
          <w:bCs w:val="0"/>
          <w:color w:val="19191A"/>
          <w:sz w:val="22"/>
          <w:szCs w:val="22"/>
        </w:rPr>
        <w:t>inanze,</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da</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adottare,</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previa</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intesa</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in</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sede</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di</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Conferenza</w:t>
      </w:r>
      <w:r w:rsidR="00C4075A"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Stato-</w:t>
      </w:r>
      <w:r w:rsidR="005E49A1" w:rsidRPr="00A20489">
        <w:rPr>
          <w:rStyle w:val="Enfasigrassetto"/>
          <w:rFonts w:ascii="Bookman Old Style" w:hAnsi="Bookman Old Style"/>
          <w:b w:val="0"/>
          <w:bCs w:val="0"/>
          <w:color w:val="19191A"/>
          <w:sz w:val="22"/>
          <w:szCs w:val="22"/>
        </w:rPr>
        <w:t>città</w:t>
      </w:r>
      <w:r w:rsidRPr="00A20489">
        <w:rPr>
          <w:rStyle w:val="Enfasigrassetto"/>
          <w:rFonts w:ascii="Bookman Old Style" w:hAnsi="Bookman Old Style"/>
          <w:b w:val="0"/>
          <w:bCs w:val="0"/>
          <w:color w:val="19191A"/>
          <w:sz w:val="22"/>
          <w:szCs w:val="22"/>
        </w:rPr>
        <w:t xml:space="preserve"> ed</w:t>
      </w:r>
      <w:r w:rsidR="00BD0ECD"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 xml:space="preserve">autonomie locali, entro </w:t>
      </w:r>
      <w:r w:rsidR="00C4075A" w:rsidRPr="00A20489">
        <w:rPr>
          <w:rStyle w:val="Enfasigrassetto"/>
          <w:rFonts w:ascii="Bookman Old Style" w:hAnsi="Bookman Old Style"/>
          <w:b w:val="0"/>
          <w:bCs w:val="0"/>
          <w:color w:val="19191A"/>
          <w:sz w:val="22"/>
          <w:szCs w:val="22"/>
        </w:rPr>
        <w:t xml:space="preserve">il </w:t>
      </w:r>
      <w:r w:rsidR="00F31253" w:rsidRPr="00A20489">
        <w:rPr>
          <w:rStyle w:val="Enfasigrassetto"/>
          <w:rFonts w:ascii="Bookman Old Style" w:hAnsi="Bookman Old Style"/>
          <w:b w:val="0"/>
          <w:bCs w:val="0"/>
          <w:color w:val="19191A"/>
          <w:sz w:val="22"/>
          <w:szCs w:val="22"/>
        </w:rPr>
        <w:t xml:space="preserve">31 marzo </w:t>
      </w:r>
      <w:r w:rsidR="00C4075A" w:rsidRPr="00A20489">
        <w:rPr>
          <w:rStyle w:val="Enfasigrassetto"/>
          <w:rFonts w:ascii="Bookman Old Style" w:hAnsi="Bookman Old Style"/>
          <w:b w:val="0"/>
          <w:bCs w:val="0"/>
          <w:color w:val="19191A"/>
          <w:sz w:val="22"/>
          <w:szCs w:val="22"/>
        </w:rPr>
        <w:t>di ciascun anno</w:t>
      </w:r>
      <w:r w:rsidR="00F31253" w:rsidRPr="00A20489">
        <w:rPr>
          <w:rStyle w:val="Enfasigrassetto"/>
          <w:rFonts w:ascii="Bookman Old Style" w:hAnsi="Bookman Old Style"/>
          <w:b w:val="0"/>
          <w:bCs w:val="0"/>
          <w:color w:val="19191A"/>
          <w:sz w:val="22"/>
          <w:szCs w:val="22"/>
        </w:rPr>
        <w:t>.</w:t>
      </w:r>
    </w:p>
    <w:p w14:paraId="00A47368" w14:textId="1E86929E" w:rsidR="003B28AD" w:rsidRPr="00A20489" w:rsidRDefault="00C12EFB" w:rsidP="00DA1674">
      <w:pPr>
        <w:pStyle w:val="PreformattatoHTML"/>
        <w:shd w:val="clear" w:color="auto" w:fill="FFFFFF"/>
        <w:spacing w:after="80" w:line="259" w:lineRule="auto"/>
        <w:jc w:val="both"/>
        <w:rPr>
          <w:rStyle w:val="Enfasigrassetto"/>
          <w:rFonts w:ascii="Bookman Old Style" w:hAnsi="Bookman Old Style"/>
          <w:color w:val="19191A"/>
          <w:sz w:val="22"/>
          <w:szCs w:val="22"/>
        </w:rPr>
      </w:pPr>
      <w:r w:rsidRPr="00A20489">
        <w:rPr>
          <w:rStyle w:val="Enfasigrassetto"/>
          <w:rFonts w:ascii="Bookman Old Style" w:hAnsi="Bookman Old Style"/>
          <w:b w:val="0"/>
          <w:bCs w:val="0"/>
          <w:color w:val="19191A"/>
          <w:sz w:val="22"/>
          <w:szCs w:val="22"/>
        </w:rPr>
        <w:t>3. Ai fini del riparto del fondo di cui al comma</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1</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tra</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i</w:t>
      </w:r>
      <w:r w:rsidR="006B2B7B"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comuni</w:t>
      </w:r>
      <w:r w:rsidR="00F079CA" w:rsidRPr="00A20489">
        <w:rPr>
          <w:rStyle w:val="Enfasigrassetto"/>
          <w:rFonts w:ascii="Bookman Old Style" w:hAnsi="Bookman Old Style"/>
          <w:b w:val="0"/>
          <w:bCs w:val="0"/>
          <w:color w:val="19191A"/>
          <w:sz w:val="22"/>
          <w:szCs w:val="22"/>
        </w:rPr>
        <w:t xml:space="preserve"> </w:t>
      </w:r>
      <w:r w:rsidRPr="00A20489">
        <w:rPr>
          <w:rStyle w:val="Enfasigrassetto"/>
          <w:rFonts w:ascii="Bookman Old Style" w:hAnsi="Bookman Old Style"/>
          <w:b w:val="0"/>
          <w:bCs w:val="0"/>
          <w:color w:val="19191A"/>
          <w:sz w:val="22"/>
          <w:szCs w:val="22"/>
        </w:rPr>
        <w:t>beneficiari,</w:t>
      </w:r>
      <w:r w:rsidR="006B2B7B" w:rsidRPr="00A20489">
        <w:rPr>
          <w:rStyle w:val="Enfasigrassetto"/>
          <w:rFonts w:ascii="Bookman Old Style" w:hAnsi="Bookman Old Style"/>
          <w:color w:val="19191A"/>
          <w:sz w:val="22"/>
          <w:szCs w:val="22"/>
        </w:rPr>
        <w:t xml:space="preserve"> </w:t>
      </w:r>
      <w:r w:rsidR="003B28AD" w:rsidRPr="00A20489">
        <w:rPr>
          <w:rStyle w:val="m9048655202098468947normaltextrun"/>
          <w:rFonts w:ascii="Bookman Old Style" w:hAnsi="Bookman Old Style"/>
          <w:color w:val="000000"/>
          <w:sz w:val="22"/>
          <w:szCs w:val="22"/>
        </w:rPr>
        <w:t xml:space="preserve">si tiene conto </w:t>
      </w:r>
      <w:r w:rsidR="00936E22" w:rsidRPr="00A20489">
        <w:rPr>
          <w:rStyle w:val="m9048655202098468947normaltextrun"/>
          <w:rFonts w:ascii="Bookman Old Style" w:hAnsi="Bookman Old Style"/>
          <w:color w:val="000000"/>
          <w:sz w:val="22"/>
          <w:szCs w:val="22"/>
        </w:rPr>
        <w:t>della popolazione</w:t>
      </w:r>
      <w:r w:rsidR="00865CD1">
        <w:rPr>
          <w:rStyle w:val="m9048655202098468947normaltextrun"/>
          <w:rFonts w:ascii="Bookman Old Style" w:hAnsi="Bookman Old Style"/>
          <w:color w:val="000000"/>
          <w:sz w:val="22"/>
          <w:szCs w:val="22"/>
        </w:rPr>
        <w:t xml:space="preserve"> e</w:t>
      </w:r>
      <w:r w:rsidR="00936E22" w:rsidRPr="00A20489">
        <w:rPr>
          <w:rStyle w:val="m9048655202098468947normaltextrun"/>
          <w:rFonts w:ascii="Bookman Old Style" w:hAnsi="Bookman Old Style"/>
          <w:color w:val="000000"/>
          <w:sz w:val="22"/>
          <w:szCs w:val="22"/>
        </w:rPr>
        <w:t xml:space="preserve"> </w:t>
      </w:r>
      <w:r w:rsidR="003B28AD" w:rsidRPr="00A20489">
        <w:rPr>
          <w:rStyle w:val="m9048655202098468947normaltextrun"/>
          <w:rFonts w:ascii="Bookman Old Style" w:hAnsi="Bookman Old Style"/>
          <w:color w:val="000000"/>
          <w:sz w:val="22"/>
          <w:szCs w:val="22"/>
        </w:rPr>
        <w:t xml:space="preserve">delle spese sostenute dai comuni interessati nell’anno precedente, nonché dell’incidenza di tali spese sul totale delle spese correnti di ciascun ente rilevate dalla banca dati delle amministrazioni pubbliche (BDAP), sulla base di una dichiarazione degli enti stessi da effettuare esclusivamente per via telematica con modalità e termini stabiliti mediante decreto del Ministero dell’Interno, sentita la Conferenza Stato-città e autonomie locali, da emanarsi entro il 15 febbraio di ciascun anno. Sulla base delle dichiarazioni degli enti, il Ministero dell’Interno può applicare criteri di normalizzazione dei costi unitari per </w:t>
      </w:r>
      <w:r w:rsidR="00327643">
        <w:rPr>
          <w:rStyle w:val="m9048655202098468947normaltextrun"/>
          <w:rFonts w:ascii="Bookman Old Style" w:hAnsi="Bookman Old Style"/>
          <w:color w:val="000000"/>
          <w:sz w:val="22"/>
          <w:szCs w:val="22"/>
        </w:rPr>
        <w:t xml:space="preserve">persona </w:t>
      </w:r>
      <w:r w:rsidR="003B28AD" w:rsidRPr="00A20489">
        <w:rPr>
          <w:rStyle w:val="m9048655202098468947normaltextrun"/>
          <w:rFonts w:ascii="Bookman Old Style" w:hAnsi="Bookman Old Style"/>
          <w:color w:val="000000"/>
          <w:sz w:val="22"/>
          <w:szCs w:val="22"/>
        </w:rPr>
        <w:t>pres</w:t>
      </w:r>
      <w:r w:rsidR="00327643">
        <w:rPr>
          <w:rStyle w:val="m9048655202098468947normaltextrun"/>
          <w:rFonts w:ascii="Bookman Old Style" w:hAnsi="Bookman Old Style"/>
          <w:color w:val="000000"/>
          <w:sz w:val="22"/>
          <w:szCs w:val="22"/>
        </w:rPr>
        <w:t>a</w:t>
      </w:r>
      <w:r w:rsidR="003B28AD" w:rsidRPr="00A20489">
        <w:rPr>
          <w:rStyle w:val="m9048655202098468947normaltextrun"/>
          <w:rFonts w:ascii="Bookman Old Style" w:hAnsi="Bookman Old Style"/>
          <w:color w:val="000000"/>
          <w:sz w:val="22"/>
          <w:szCs w:val="22"/>
        </w:rPr>
        <w:t xml:space="preserve"> in carico, a rettifica d’ufficio di dichiarazioni da considerarsi anomale. In caso di insufficienza dei fondi disponibili per soddisfare il fabbisogno risultante dalle dichiarazioni presentate, il riparto avviene per ciascun anno in proporzione dei fabbisogni dichiarati, eventualmente rettificati ai sensi del periodo precedente.</w:t>
      </w:r>
    </w:p>
    <w:p w14:paraId="5F945600" w14:textId="32F86168" w:rsidR="003B28AD" w:rsidRPr="00A20489" w:rsidRDefault="005E49A1" w:rsidP="00A13DFF">
      <w:pPr>
        <w:pStyle w:val="PreformattatoHTML"/>
        <w:shd w:val="clear" w:color="auto" w:fill="FFFFFF"/>
        <w:spacing w:after="80" w:line="259" w:lineRule="auto"/>
        <w:jc w:val="center"/>
        <w:rPr>
          <w:rStyle w:val="Enfasigrassetto"/>
          <w:rFonts w:ascii="Bookman Old Style" w:hAnsi="Bookman Old Style"/>
          <w:color w:val="19191A"/>
          <w:sz w:val="22"/>
          <w:szCs w:val="22"/>
        </w:rPr>
      </w:pPr>
      <w:r w:rsidRPr="00A20489">
        <w:rPr>
          <w:rStyle w:val="Enfasigrassetto"/>
          <w:rFonts w:ascii="Bookman Old Style" w:hAnsi="Bookman Old Style"/>
          <w:color w:val="19191A"/>
          <w:sz w:val="22"/>
          <w:szCs w:val="22"/>
        </w:rPr>
        <w:t>Motivazione</w:t>
      </w:r>
    </w:p>
    <w:p w14:paraId="1059B88F" w14:textId="60D4A5A9" w:rsidR="00DA5118" w:rsidRPr="00A20489" w:rsidRDefault="004242B3" w:rsidP="00CE6E11">
      <w:pPr>
        <w:spacing w:after="80"/>
        <w:jc w:val="both"/>
        <w:rPr>
          <w:rFonts w:ascii="Bookman Old Style" w:hAnsi="Bookman Old Style" w:cs="Calibri"/>
          <w:i/>
          <w:iCs/>
          <w:lang w:eastAsia="it-IT"/>
        </w:rPr>
      </w:pPr>
      <w:r w:rsidRPr="00A20489">
        <w:rPr>
          <w:rFonts w:ascii="Bookman Old Style" w:hAnsi="Bookman Old Style" w:cs="Calibri"/>
          <w:i/>
          <w:iCs/>
          <w:lang w:eastAsia="it-IT"/>
        </w:rPr>
        <w:t xml:space="preserve">L’incidenza delle </w:t>
      </w:r>
      <w:r w:rsidR="00640F24" w:rsidRPr="00A20489">
        <w:rPr>
          <w:rFonts w:ascii="Bookman Old Style" w:hAnsi="Bookman Old Style" w:cs="Calibri"/>
          <w:i/>
          <w:iCs/>
          <w:lang w:eastAsia="it-IT"/>
        </w:rPr>
        <w:t>spese per obblighi di allontanamento dalla casa familiare di minori</w:t>
      </w:r>
      <w:r w:rsidR="0052269F" w:rsidRPr="00A20489">
        <w:rPr>
          <w:rFonts w:ascii="Bookman Old Style" w:hAnsi="Bookman Old Style" w:cs="Calibri"/>
          <w:i/>
          <w:iCs/>
          <w:lang w:eastAsia="it-IT"/>
        </w:rPr>
        <w:t xml:space="preserve">, stabiliti dal giudice a carico </w:t>
      </w:r>
      <w:r w:rsidR="00B65565" w:rsidRPr="00A20489">
        <w:rPr>
          <w:rFonts w:ascii="Bookman Old Style" w:hAnsi="Bookman Old Style" w:cs="Calibri"/>
          <w:i/>
          <w:iCs/>
          <w:lang w:eastAsia="it-IT"/>
        </w:rPr>
        <w:t xml:space="preserve">dei comuni di residenza degli interessati può incidere in modo </w:t>
      </w:r>
      <w:r w:rsidR="00DA5118" w:rsidRPr="00A20489">
        <w:rPr>
          <w:rFonts w:ascii="Bookman Old Style" w:hAnsi="Bookman Old Style" w:cs="Calibri"/>
          <w:i/>
          <w:iCs/>
          <w:lang w:eastAsia="it-IT"/>
        </w:rPr>
        <w:t>drammatico sugli equilibri di bilancio degli enti di minori dimensione.</w:t>
      </w:r>
      <w:r w:rsidR="0045677C">
        <w:rPr>
          <w:rFonts w:ascii="Bookman Old Style" w:hAnsi="Bookman Old Style" w:cs="Calibri"/>
          <w:i/>
          <w:iCs/>
          <w:lang w:eastAsia="it-IT"/>
        </w:rPr>
        <w:t xml:space="preserve"> </w:t>
      </w:r>
      <w:r w:rsidR="00DA5118" w:rsidRPr="00A20489">
        <w:rPr>
          <w:rFonts w:ascii="Bookman Old Style" w:hAnsi="Bookman Old Style" w:cs="Calibri"/>
          <w:i/>
          <w:iCs/>
          <w:lang w:eastAsia="it-IT"/>
        </w:rPr>
        <w:t>Nel 2021</w:t>
      </w:r>
      <w:r w:rsidR="00CF3243" w:rsidRPr="00A20489">
        <w:rPr>
          <w:rFonts w:ascii="Bookman Old Style" w:hAnsi="Bookman Old Style" w:cs="Calibri"/>
          <w:i/>
          <w:iCs/>
          <w:lang w:eastAsia="it-IT"/>
        </w:rPr>
        <w:t>sono stati stanziati 3 milioni di euro per il sostegno a</w:t>
      </w:r>
      <w:r w:rsidR="00AD22C6" w:rsidRPr="00A20489">
        <w:rPr>
          <w:rFonts w:ascii="Bookman Old Style" w:hAnsi="Bookman Old Style" w:cs="Calibri"/>
          <w:i/>
          <w:iCs/>
          <w:lang w:eastAsia="it-IT"/>
        </w:rPr>
        <w:t>i Comuni fino a 3mila abitanti gravati da tali spese. La rilevazione condotta dal Ministero dell’Interno al fine di modulare il riparto ha mostrato una dimensione di molto superiore (</w:t>
      </w:r>
      <w:r w:rsidR="00FF7AAE" w:rsidRPr="00A20489">
        <w:rPr>
          <w:rFonts w:ascii="Bookman Old Style" w:hAnsi="Bookman Old Style" w:cs="Calibri"/>
          <w:i/>
          <w:iCs/>
          <w:lang w:eastAsia="it-IT"/>
        </w:rPr>
        <w:t xml:space="preserve">pari a </w:t>
      </w:r>
      <w:r w:rsidR="00AD22C6" w:rsidRPr="00A20489">
        <w:rPr>
          <w:rFonts w:ascii="Bookman Old Style" w:hAnsi="Bookman Old Style" w:cs="Calibri"/>
          <w:i/>
          <w:iCs/>
          <w:lang w:eastAsia="it-IT"/>
        </w:rPr>
        <w:t>circa 10 volte lo stanziamento</w:t>
      </w:r>
      <w:r w:rsidR="00FF7AAE" w:rsidRPr="00A20489">
        <w:rPr>
          <w:rFonts w:ascii="Bookman Old Style" w:hAnsi="Bookman Old Style" w:cs="Calibri"/>
          <w:i/>
          <w:iCs/>
          <w:lang w:eastAsia="it-IT"/>
        </w:rPr>
        <w:t>)</w:t>
      </w:r>
      <w:r w:rsidR="007B38A1" w:rsidRPr="00A20489">
        <w:rPr>
          <w:rFonts w:ascii="Bookman Old Style" w:hAnsi="Bookman Old Style" w:cs="Calibri"/>
          <w:i/>
          <w:iCs/>
          <w:lang w:eastAsia="it-IT"/>
        </w:rPr>
        <w:t>.</w:t>
      </w:r>
    </w:p>
    <w:p w14:paraId="7BE5B238" w14:textId="1B1321A1" w:rsidR="00CE6E11" w:rsidRPr="00A20489" w:rsidRDefault="007B38A1" w:rsidP="00E82605">
      <w:pPr>
        <w:spacing w:after="80"/>
        <w:jc w:val="both"/>
        <w:rPr>
          <w:rFonts w:ascii="Bookman Old Style" w:hAnsi="Bookman Old Style"/>
          <w:i/>
          <w:iCs/>
          <w:highlight w:val="yellow"/>
        </w:rPr>
      </w:pPr>
      <w:r w:rsidRPr="00A20489">
        <w:rPr>
          <w:rFonts w:ascii="Bookman Old Style" w:hAnsi="Bookman Old Style" w:cs="Calibri"/>
          <w:i/>
          <w:iCs/>
          <w:lang w:eastAsia="it-IT"/>
        </w:rPr>
        <w:t>La norma proposta istituisce un fondo di 30 milioni di euro annui fino al 2027</w:t>
      </w:r>
      <w:r w:rsidR="00AC46C8" w:rsidRPr="00A20489">
        <w:rPr>
          <w:rFonts w:ascii="Bookman Old Style" w:hAnsi="Bookman Old Style" w:cs="Calibri"/>
          <w:i/>
          <w:iCs/>
          <w:lang w:eastAsia="it-IT"/>
        </w:rPr>
        <w:t xml:space="preserve">, in attesa di una ridefinizione organica </w:t>
      </w:r>
      <w:r w:rsidR="00730446" w:rsidRPr="00A20489">
        <w:rPr>
          <w:rFonts w:ascii="Bookman Old Style" w:hAnsi="Bookman Old Style" w:cs="Calibri"/>
          <w:i/>
          <w:iCs/>
          <w:lang w:eastAsia="it-IT"/>
        </w:rPr>
        <w:t>del finanziamento degli oneri in questione, ampliando al tempo stesso il perimetro dei beneficiari ai Comuni con popolazione fino a 5 mila abitanti</w:t>
      </w:r>
      <w:r w:rsidR="00C366A7" w:rsidRPr="00A20489">
        <w:rPr>
          <w:rFonts w:ascii="Bookman Old Style" w:hAnsi="Bookman Old Style" w:cs="Calibri"/>
          <w:i/>
          <w:iCs/>
          <w:lang w:eastAsia="it-IT"/>
        </w:rPr>
        <w:t>.</w:t>
      </w:r>
      <w:r w:rsidRPr="00A20489">
        <w:rPr>
          <w:rFonts w:ascii="Bookman Old Style" w:hAnsi="Bookman Old Style" w:cs="Calibri"/>
          <w:i/>
          <w:iCs/>
          <w:lang w:eastAsia="it-IT"/>
        </w:rPr>
        <w:t xml:space="preserve"> </w:t>
      </w:r>
    </w:p>
    <w:p w14:paraId="39758872" w14:textId="0DA016A1" w:rsidR="00AD17C2" w:rsidRPr="00A20489" w:rsidRDefault="00AD17C2" w:rsidP="00174DE8">
      <w:pPr>
        <w:spacing w:after="80"/>
        <w:rPr>
          <w:rFonts w:ascii="Bookman Old Style" w:hAnsi="Bookman Old Style"/>
          <w:highlight w:val="yellow"/>
        </w:rPr>
      </w:pPr>
    </w:p>
    <w:p w14:paraId="586EDF82" w14:textId="5AAAF698" w:rsidR="00411A34" w:rsidRPr="00F56158" w:rsidRDefault="0005635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43" w:name="_Toc121214279"/>
      <w:r w:rsidRPr="00F56158">
        <w:rPr>
          <w:rFonts w:ascii="Bookman Old Style" w:hAnsi="Bookman Old Style"/>
          <w:b/>
          <w:bCs/>
          <w:color w:val="2F5496" w:themeColor="accent1" w:themeShade="BF"/>
          <w:sz w:val="22"/>
          <w:szCs w:val="22"/>
        </w:rPr>
        <w:t>Ulteriore contributo a ripiano da maggiori oneri FAL e fondi rotativi (sentenze CCost n. 18/2019 e 80/2020)</w:t>
      </w:r>
      <w:bookmarkEnd w:id="43"/>
    </w:p>
    <w:p w14:paraId="4A9EA905" w14:textId="030C2204" w:rsidR="00CF72AE" w:rsidRPr="00A20489" w:rsidRDefault="00CF72AE" w:rsidP="00CF72AE">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146 aggiungere il seguente art. 146</w:t>
      </w:r>
      <w:r w:rsidR="00F61EA3">
        <w:rPr>
          <w:rFonts w:ascii="Bookman Old Style" w:hAnsi="Bookman Old Style"/>
          <w:i/>
          <w:iCs/>
          <w:sz w:val="22"/>
          <w:szCs w:val="22"/>
        </w:rPr>
        <w:t>-</w:t>
      </w:r>
      <w:r w:rsidRPr="00A20489">
        <w:rPr>
          <w:rFonts w:ascii="Bookman Old Style" w:hAnsi="Bookman Old Style"/>
          <w:i/>
          <w:iCs/>
          <w:sz w:val="22"/>
          <w:szCs w:val="22"/>
        </w:rPr>
        <w:t>bis</w:t>
      </w:r>
    </w:p>
    <w:p w14:paraId="6BC31037" w14:textId="332E23D0" w:rsidR="00CF72AE" w:rsidRPr="00A20489" w:rsidRDefault="00F61EA3" w:rsidP="00CF72AE">
      <w:pPr>
        <w:rPr>
          <w:rFonts w:ascii="Bookman Old Style" w:hAnsi="Bookman Old Style"/>
        </w:rPr>
      </w:pPr>
      <w:r>
        <w:rPr>
          <w:rFonts w:ascii="Bookman Old Style" w:hAnsi="Bookman Old Style"/>
        </w:rPr>
        <w:t xml:space="preserve">Art. 146-bis (Ulteriore contributo a sostegno degli enti con maggiori disavanzi emergenti a seguito </w:t>
      </w:r>
      <w:r w:rsidR="00F96B01">
        <w:rPr>
          <w:rFonts w:ascii="Bookman Old Style" w:hAnsi="Bookman Old Style"/>
        </w:rPr>
        <w:t xml:space="preserve">di illegittimità </w:t>
      </w:r>
      <w:r w:rsidR="00E85734">
        <w:rPr>
          <w:rFonts w:ascii="Bookman Old Style" w:hAnsi="Bookman Old Style"/>
        </w:rPr>
        <w:t>di norme contabili)</w:t>
      </w:r>
    </w:p>
    <w:p w14:paraId="76B788E0" w14:textId="77777777" w:rsidR="0005635C" w:rsidRPr="00A20489" w:rsidRDefault="0005635C" w:rsidP="002F3312">
      <w:pPr>
        <w:pStyle w:val="paragraph"/>
        <w:numPr>
          <w:ilvl w:val="0"/>
          <w:numId w:val="13"/>
        </w:numPr>
        <w:tabs>
          <w:tab w:val="clear" w:pos="0"/>
          <w:tab w:val="num" w:pos="426"/>
        </w:tabs>
        <w:spacing w:before="0" w:beforeAutospacing="0" w:after="80" w:afterAutospacing="0" w:line="259" w:lineRule="auto"/>
        <w:ind w:firstLine="0"/>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Il fondo di cui all’articolo 52, comma 1, del decreto legge 25 maggio 2021, n. 73, convertito con modificazioni dalla legge 23 luglio 2021, n. 106, è rifinanziato con una dotazione di 400 milioni di euro per l’anno 2023, ferme restando le finalità di cui al citato articolo, in favore degli enti locali il cui maggiore disavanzo determinato dall’incremento del fondo anticipazione di liquidità è superiore al 2 per cento delle entrate correnti accertate, risultante dal rendiconto 2019 inviato alla banca dati delle amministrazioni pubbliche (BDAP) alla data del 31 dicembre 2022. Le risorse di cui al periodo precedente sono ripartite con decreto del Ministro dell’interno, di concerto con il Ministro dell’economia e delle finanze, d’intesa con la Conferenza Stato-città ed autonomie locali, da adottare entro 60 giorni dalla data di entrata in vigore della presente legge, riconoscendo agli enti locali non beneficiari delle risorse già assegnate con il decreto 10 agosto 2021 del Ministro dell’interno di concerto con il Ministro dell’economia e delle finanze, anche la quota che ne sarebbe derivata per l’anno 2021 secondo quanto disposto dal periodo precedente. Le modalità di utilizzo del fondo di cui al primo periodo sono quelle indicate ai commi 1-</w:t>
      </w:r>
      <w:r w:rsidRPr="00A20489">
        <w:rPr>
          <w:rStyle w:val="normaltextrun"/>
          <w:rFonts w:ascii="Bookman Old Style" w:hAnsi="Bookman Old Style" w:cs="Segoe UI"/>
          <w:i/>
          <w:iCs/>
          <w:sz w:val="22"/>
          <w:szCs w:val="22"/>
        </w:rPr>
        <w:t>ter</w:t>
      </w:r>
      <w:r w:rsidRPr="00A20489">
        <w:rPr>
          <w:rStyle w:val="normaltextrun"/>
          <w:rFonts w:ascii="Bookman Old Style" w:hAnsi="Bookman Old Style" w:cs="Segoe UI"/>
          <w:sz w:val="22"/>
          <w:szCs w:val="22"/>
        </w:rPr>
        <w:t xml:space="preserve"> e 1-</w:t>
      </w:r>
      <w:r w:rsidRPr="00A20489">
        <w:rPr>
          <w:rStyle w:val="normaltextrun"/>
          <w:rFonts w:ascii="Bookman Old Style" w:hAnsi="Bookman Old Style" w:cs="Segoe UI"/>
          <w:i/>
          <w:iCs/>
          <w:sz w:val="22"/>
          <w:szCs w:val="22"/>
        </w:rPr>
        <w:t>quater</w:t>
      </w:r>
      <w:r w:rsidRPr="00A20489">
        <w:rPr>
          <w:rStyle w:val="normaltextrun"/>
          <w:rFonts w:ascii="Bookman Old Style" w:hAnsi="Bookman Old Style" w:cs="Segoe UI"/>
          <w:sz w:val="22"/>
          <w:szCs w:val="22"/>
        </w:rPr>
        <w:t>, articolo 52 del citato decreto legge n. 73 del 2021 e il riferimento al primo esercizio del bilancio di previsione 2021 di cui al predetto comma 1-</w:t>
      </w:r>
      <w:r w:rsidRPr="00A20489">
        <w:rPr>
          <w:rStyle w:val="normaltextrun"/>
          <w:rFonts w:ascii="Bookman Old Style" w:hAnsi="Bookman Old Style" w:cs="Segoe UI"/>
          <w:i/>
          <w:iCs/>
          <w:sz w:val="22"/>
          <w:szCs w:val="22"/>
        </w:rPr>
        <w:t>quater</w:t>
      </w:r>
      <w:r w:rsidRPr="00A20489">
        <w:rPr>
          <w:rStyle w:val="normaltextrun"/>
          <w:rFonts w:ascii="Bookman Old Style" w:hAnsi="Bookman Old Style" w:cs="Segoe UI"/>
          <w:sz w:val="22"/>
          <w:szCs w:val="22"/>
        </w:rPr>
        <w:t xml:space="preserve"> si intende relativo all’esercizio 2023.</w:t>
      </w:r>
      <w:r w:rsidRPr="00A20489">
        <w:rPr>
          <w:rStyle w:val="normaltextrun"/>
          <w:sz w:val="22"/>
          <w:szCs w:val="22"/>
        </w:rPr>
        <w:t> </w:t>
      </w:r>
      <w:r w:rsidRPr="00A20489">
        <w:rPr>
          <w:rStyle w:val="eop"/>
          <w:rFonts w:ascii="Bookman Old Style" w:hAnsi="Bookman Old Style" w:cs="Segoe UI"/>
          <w:sz w:val="22"/>
          <w:szCs w:val="22"/>
        </w:rPr>
        <w:t> </w:t>
      </w:r>
    </w:p>
    <w:p w14:paraId="7A0AEF4F" w14:textId="3A8E649D" w:rsidR="0005635C" w:rsidRPr="00A20489" w:rsidRDefault="0005635C" w:rsidP="002F3312">
      <w:pPr>
        <w:pStyle w:val="paragraph"/>
        <w:numPr>
          <w:ilvl w:val="0"/>
          <w:numId w:val="13"/>
        </w:numPr>
        <w:tabs>
          <w:tab w:val="clear" w:pos="0"/>
          <w:tab w:val="num" w:pos="426"/>
        </w:tabs>
        <w:spacing w:before="0" w:beforeAutospacing="0" w:after="80" w:afterAutospacing="0" w:line="259" w:lineRule="auto"/>
        <w:ind w:firstLine="0"/>
        <w:jc w:val="both"/>
        <w:textAlignment w:val="baseline"/>
        <w:rPr>
          <w:rFonts w:ascii="Bookman Old Style" w:hAnsi="Bookman Old Style"/>
          <w:sz w:val="22"/>
          <w:szCs w:val="22"/>
        </w:rPr>
      </w:pPr>
      <w:r w:rsidRPr="00A20489">
        <w:rPr>
          <w:rStyle w:val="normaltextrun"/>
          <w:rFonts w:ascii="Bookman Old Style" w:hAnsi="Bookman Old Style" w:cs="Segoe UI"/>
          <w:sz w:val="22"/>
          <w:szCs w:val="22"/>
        </w:rPr>
        <w:t>La dotazione del fondo di cui al primo comma è inoltre aumentata di 50 milioni di euro da ripartire tra gli enti locali che hanno usufruito delle anticipazioni di liquidità ai sensi dell’articolo 243-ter del decreto legislativo 18</w:t>
      </w:r>
      <w:r w:rsidRPr="00A20489">
        <w:rPr>
          <w:rStyle w:val="normaltextrun"/>
          <w:rFonts w:ascii="Bookman Old Style" w:hAnsi="Bookman Old Style"/>
          <w:sz w:val="22"/>
          <w:szCs w:val="22"/>
        </w:rPr>
        <w:t xml:space="preserve"> agosto 2000, n. 267, o di quelle dovute </w:t>
      </w:r>
      <w:r w:rsidR="00E85734">
        <w:rPr>
          <w:rStyle w:val="normaltextrun"/>
          <w:rFonts w:ascii="Bookman Old Style" w:hAnsi="Bookman Old Style"/>
          <w:sz w:val="22"/>
          <w:szCs w:val="22"/>
        </w:rPr>
        <w:t xml:space="preserve">a seguito dei </w:t>
      </w:r>
      <w:r w:rsidRPr="00A20489">
        <w:rPr>
          <w:rStyle w:val="normaltextrun"/>
          <w:rFonts w:ascii="Bookman Old Style" w:hAnsi="Bookman Old Style"/>
          <w:sz w:val="22"/>
          <w:szCs w:val="22"/>
        </w:rPr>
        <w:t>provvedimenti di cui all’articolo 143 del medesimo decreto legislativo n. 267 del 2000, che, per effetto della sentenza n. 18 del 2019 della Corte costituzionale, subiscono un maggiore onere finanziario dovuto alla riduzione dell’arco temporale di restituzione delle predette anticipazioni. Le risorse di cui al periodo precedente sono destinate alla restituzione delle anticipazioni di cui al periodo precedente e sono ripartite con uno o più decreti del Ministro dell’interno, di concerto con il Ministro dell’economia e delle finanze, d’intesa con la Conferenza Stato-città ed autonomie locali, da adottare entro il 28 febbraio 2023, tenendo anche conto del maggior onere finanziario annuale derivante dalla rimodulazione delle rate di restituzione delle anticipazioni di cui al periodo precedente, con riferimento alle rate scadute nel triennio 2019-2021 e delle somme già assegnate con le medesime finalità dal decreto del Ministro dell’interno, di concerto con il Ministro dell’economia e delle finanze del 15 giugno 2022, attuativo dell’articolo 27, comma 3, del decreto-legge 1° marzo 2022, n.17, convertito, con modificazioni, dalla legge 27 aprile 2022, n.34.</w:t>
      </w:r>
      <w:r w:rsidRPr="00A20489">
        <w:rPr>
          <w:rStyle w:val="normaltextrun"/>
          <w:sz w:val="22"/>
          <w:szCs w:val="22"/>
        </w:rPr>
        <w:t>  </w:t>
      </w:r>
      <w:r w:rsidRPr="00A20489">
        <w:rPr>
          <w:rStyle w:val="eop"/>
          <w:rFonts w:ascii="Bookman Old Style" w:hAnsi="Bookman Old Style"/>
          <w:sz w:val="22"/>
          <w:szCs w:val="22"/>
        </w:rPr>
        <w:t> </w:t>
      </w:r>
    </w:p>
    <w:p w14:paraId="108BA64F" w14:textId="77777777" w:rsidR="0005635C" w:rsidRPr="00A20489" w:rsidRDefault="0005635C" w:rsidP="0005635C">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La proposta comporta oneri per complessivi 450 milioni di euro.</w:t>
      </w:r>
      <w:r w:rsidRPr="00A20489">
        <w:rPr>
          <w:rStyle w:val="normaltextrun"/>
          <w:sz w:val="22"/>
          <w:szCs w:val="22"/>
        </w:rPr>
        <w:t> </w:t>
      </w:r>
      <w:r w:rsidRPr="00A20489">
        <w:rPr>
          <w:rStyle w:val="eop"/>
          <w:rFonts w:ascii="Bookman Old Style" w:hAnsi="Bookman Old Style" w:cs="Segoe UI"/>
          <w:sz w:val="22"/>
          <w:szCs w:val="22"/>
        </w:rPr>
        <w:t> </w:t>
      </w:r>
    </w:p>
    <w:p w14:paraId="5877DADF" w14:textId="77777777" w:rsidR="0005635C" w:rsidRPr="00A20489" w:rsidRDefault="0005635C" w:rsidP="0005635C">
      <w:pPr>
        <w:pStyle w:val="paragraph"/>
        <w:spacing w:before="0" w:beforeAutospacing="0" w:after="80" w:afterAutospacing="0" w:line="259" w:lineRule="auto"/>
        <w:jc w:val="center"/>
        <w:textAlignment w:val="baseline"/>
        <w:rPr>
          <w:rFonts w:ascii="Bookman Old Style" w:hAnsi="Bookman Old Style" w:cs="Segoe UI"/>
          <w:sz w:val="22"/>
          <w:szCs w:val="22"/>
        </w:rPr>
      </w:pPr>
      <w:r w:rsidRPr="00A20489">
        <w:rPr>
          <w:rStyle w:val="normaltextrun"/>
          <w:rFonts w:ascii="Bookman Old Style" w:hAnsi="Bookman Old Style" w:cs="Segoe UI"/>
          <w:b/>
          <w:bCs/>
          <w:sz w:val="22"/>
          <w:szCs w:val="22"/>
        </w:rPr>
        <w:t>Motivazione</w:t>
      </w:r>
      <w:r w:rsidRPr="00A20489">
        <w:rPr>
          <w:rStyle w:val="normaltextrun"/>
          <w:sz w:val="22"/>
          <w:szCs w:val="22"/>
        </w:rPr>
        <w:t> </w:t>
      </w:r>
      <w:r w:rsidRPr="00A20489">
        <w:rPr>
          <w:rStyle w:val="eop"/>
          <w:rFonts w:ascii="Bookman Old Style" w:hAnsi="Bookman Old Style" w:cs="Segoe UI"/>
          <w:sz w:val="22"/>
          <w:szCs w:val="22"/>
        </w:rPr>
        <w:t> </w:t>
      </w:r>
    </w:p>
    <w:p w14:paraId="0914835E" w14:textId="77777777" w:rsidR="0005635C" w:rsidRPr="00A20489" w:rsidRDefault="0005635C" w:rsidP="0005635C">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 xml:space="preserve">La proposta emendativa mira, con il </w:t>
      </w:r>
      <w:r w:rsidRPr="00A20489">
        <w:rPr>
          <w:rStyle w:val="normaltextrun"/>
          <w:rFonts w:ascii="Bookman Old Style" w:hAnsi="Bookman Old Style" w:cs="Segoe UI"/>
          <w:b/>
          <w:bCs/>
          <w:i/>
          <w:iCs/>
          <w:sz w:val="22"/>
          <w:szCs w:val="22"/>
        </w:rPr>
        <w:t>comma 1</w:t>
      </w:r>
      <w:r w:rsidRPr="00A20489">
        <w:rPr>
          <w:rStyle w:val="normaltextrun"/>
          <w:rFonts w:ascii="Bookman Old Style" w:hAnsi="Bookman Old Style" w:cs="Segoe UI"/>
          <w:i/>
          <w:iCs/>
          <w:sz w:val="22"/>
          <w:szCs w:val="22"/>
        </w:rPr>
        <w:t>, ad assicurare un ulteriore sostegno per il ripiano dei disavanzi da FAL a favore degli enti locali colpiti dalla sentenza CCost n. 80 del 2020. Si ricorda infatti che la dotazione del fondo 2021 (dl. n.73/2021), pari a 660 milioni di euro, è largamente inferiore all’impatto finanziario, in termini di maggiore disavanzo, per gli enti direttamente coinvolti dalla richiamata sentenza (nel complesso 2,7 miliardi di euro).</w:t>
      </w:r>
      <w:r w:rsidRPr="00A20489">
        <w:rPr>
          <w:rStyle w:val="normaltextrun"/>
          <w:sz w:val="22"/>
          <w:szCs w:val="22"/>
        </w:rPr>
        <w:t> </w:t>
      </w:r>
      <w:r w:rsidRPr="00A20489">
        <w:rPr>
          <w:rStyle w:val="eop"/>
          <w:rFonts w:ascii="Bookman Old Style" w:hAnsi="Bookman Old Style" w:cs="Segoe UI"/>
          <w:sz w:val="22"/>
          <w:szCs w:val="22"/>
        </w:rPr>
        <w:t> </w:t>
      </w:r>
    </w:p>
    <w:p w14:paraId="73006544" w14:textId="77777777" w:rsidR="0005635C" w:rsidRPr="00A20489" w:rsidRDefault="0005635C" w:rsidP="0005635C">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Al fine di rafforzare l’efficacia della finalità perseguita con il rifinanziamento del Fondo istituito per l’anno 2021, la norma proposta amplia la platea dei beneficiari (nel complesso, circa 120 enti locali ulteriori, rispetto ai 365 coinvolti dal primo contributo), riducendo dal 10% al 2% la soglia minima del rapporto tra disavanzo ed entrate correnti utile all’acquisizione del ristoro in commento, nonché riconoscendo agli enti per questa ragione esclusi dal riparto 2021 anche la quota che avrebbero acquisito con l’applicazione della minore soglia ora proposta per l’anno 2022.</w:t>
      </w:r>
      <w:r w:rsidRPr="00A20489">
        <w:rPr>
          <w:rStyle w:val="normaltextrun"/>
          <w:sz w:val="22"/>
          <w:szCs w:val="22"/>
        </w:rPr>
        <w:t> </w:t>
      </w:r>
      <w:r w:rsidRPr="00A20489">
        <w:rPr>
          <w:rStyle w:val="eop"/>
          <w:rFonts w:ascii="Bookman Old Style" w:hAnsi="Bookman Old Style" w:cs="Segoe UI"/>
          <w:sz w:val="22"/>
          <w:szCs w:val="22"/>
        </w:rPr>
        <w:t> </w:t>
      </w:r>
    </w:p>
    <w:p w14:paraId="7139E3C7" w14:textId="505DAD4C" w:rsidR="0005635C" w:rsidRPr="00A20489" w:rsidRDefault="0005635C" w:rsidP="0005635C">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Nel complesso, l’ulteriore contributo proposto permetterebbe di neutralizzare gli effetti del maggior disavanzo da ripianare fino al 2024, contribuendo ad evitare aggravi che inciderebbero sugli equilibri correnti degli enti coinvolti, nell’attuale contesto di incremento dei prezzi – in particolare energetici – e di attuazione del PNRR.</w:t>
      </w:r>
      <w:r w:rsidR="00901A9A">
        <w:rPr>
          <w:rStyle w:val="normaltextrun"/>
          <w:rFonts w:ascii="Bookman Old Style" w:hAnsi="Bookman Old Style" w:cs="Segoe UI"/>
          <w:i/>
          <w:iCs/>
          <w:sz w:val="22"/>
          <w:szCs w:val="22"/>
        </w:rPr>
        <w:t xml:space="preserve"> </w:t>
      </w:r>
    </w:p>
    <w:p w14:paraId="54E42FB8" w14:textId="77777777" w:rsidR="0005635C" w:rsidRPr="00A20489" w:rsidRDefault="0005635C" w:rsidP="0005635C">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 xml:space="preserve">Infine, al </w:t>
      </w:r>
      <w:r w:rsidRPr="00A20489">
        <w:rPr>
          <w:rStyle w:val="normaltextrun"/>
          <w:rFonts w:ascii="Bookman Old Style" w:hAnsi="Bookman Old Style" w:cs="Segoe UI"/>
          <w:b/>
          <w:bCs/>
          <w:i/>
          <w:iCs/>
          <w:sz w:val="22"/>
          <w:szCs w:val="22"/>
        </w:rPr>
        <w:t>comma 2</w:t>
      </w:r>
      <w:r w:rsidRPr="00A20489">
        <w:rPr>
          <w:rStyle w:val="normaltextrun"/>
          <w:rFonts w:ascii="Bookman Old Style" w:hAnsi="Bookman Old Style" w:cs="Segoe UI"/>
          <w:i/>
          <w:iCs/>
          <w:sz w:val="22"/>
          <w:szCs w:val="22"/>
        </w:rPr>
        <w:t>, la norma proposta prevede una distinta quota di sostegno finanziario, pari a 50 milioni di euro, appositamente destinata agli enti in condizione di predissesto o sciolti per infiltrazioni della criminalità organizzata, i quali per effetto della sentenza CCost n. 18 del 2019 subiscono, a decorrere dal 2019, un ulteriore aggravio finanziario legato alla rimodulazione (da 30 a 10 anni) del piano di ammortamento afferente a specifici fondi rotativi precedentemente acquisiti. Tale quota si aggiunge alla precedente assegnazione già intervenuta con il dl 17/2022 (per 22,6 mln. di euro), concorrendo nel complesso a ridurre di circa il 45% l’onere per maggiori rate di restituzione gravanti su sui 20 enti locali coinvolti.</w:t>
      </w:r>
      <w:r w:rsidRPr="00A20489">
        <w:rPr>
          <w:rStyle w:val="normaltextrun"/>
          <w:sz w:val="22"/>
          <w:szCs w:val="22"/>
        </w:rPr>
        <w:t> </w:t>
      </w:r>
      <w:r w:rsidRPr="00A20489">
        <w:rPr>
          <w:rStyle w:val="eop"/>
          <w:rFonts w:ascii="Bookman Old Style" w:hAnsi="Bookman Old Style" w:cs="Segoe UI"/>
          <w:sz w:val="22"/>
          <w:szCs w:val="22"/>
        </w:rPr>
        <w:t> </w:t>
      </w:r>
    </w:p>
    <w:p w14:paraId="51078B5F" w14:textId="77777777" w:rsidR="0005635C" w:rsidRPr="00A20489" w:rsidRDefault="0005635C" w:rsidP="0005635C">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Appare opportuno sottolineare che ambedue i contributi in questione evitano maggiori aggravi dovuti a dichiarazioni di incostituzionalità di norme legislative e non a cattiva gestione degli enti interessati.</w:t>
      </w:r>
      <w:r w:rsidRPr="00A20489">
        <w:rPr>
          <w:rStyle w:val="eop"/>
          <w:rFonts w:ascii="Bookman Old Style" w:hAnsi="Bookman Old Style" w:cs="Segoe UI"/>
          <w:sz w:val="22"/>
          <w:szCs w:val="22"/>
        </w:rPr>
        <w:t> </w:t>
      </w:r>
    </w:p>
    <w:p w14:paraId="01204BC3" w14:textId="77777777" w:rsidR="00A7202E" w:rsidRPr="00A20489" w:rsidRDefault="00A7202E" w:rsidP="0005635C">
      <w:pPr>
        <w:spacing w:after="80"/>
        <w:rPr>
          <w:rFonts w:ascii="Bookman Old Style" w:hAnsi="Bookman Old Style"/>
        </w:rPr>
      </w:pPr>
    </w:p>
    <w:p w14:paraId="6DDF525F" w14:textId="77777777" w:rsidR="009735C5" w:rsidRDefault="009735C5">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4C7E0C39" w14:textId="6350F3A7" w:rsidR="00A873A2" w:rsidRPr="00B32FB7" w:rsidRDefault="00A873A2"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44" w:name="_Toc121214280"/>
      <w:r w:rsidRPr="00B32FB7">
        <w:rPr>
          <w:rFonts w:ascii="Bookman Old Style" w:hAnsi="Bookman Old Style"/>
          <w:b/>
          <w:bCs/>
          <w:color w:val="2F5496" w:themeColor="accent1" w:themeShade="BF"/>
          <w:sz w:val="22"/>
          <w:szCs w:val="22"/>
        </w:rPr>
        <w:t>Fondo per contenziosi connessi a sentenze esecutive relative a calamità o cedimenti</w:t>
      </w:r>
      <w:r w:rsidR="00901A9A">
        <w:rPr>
          <w:rFonts w:ascii="Bookman Old Style" w:hAnsi="Bookman Old Style"/>
          <w:b/>
          <w:bCs/>
          <w:color w:val="2F5496" w:themeColor="accent1" w:themeShade="BF"/>
          <w:sz w:val="22"/>
          <w:szCs w:val="22"/>
        </w:rPr>
        <w:t xml:space="preserve"> </w:t>
      </w:r>
      <w:r w:rsidR="0013593F" w:rsidRPr="00B32FB7">
        <w:rPr>
          <w:rFonts w:ascii="Times New Roman" w:hAnsi="Times New Roman" w:cs="Times New Roman"/>
          <w:b/>
          <w:bCs/>
          <w:color w:val="2F5496" w:themeColor="accent1" w:themeShade="BF"/>
          <w:sz w:val="22"/>
          <w:szCs w:val="22"/>
        </w:rPr>
        <w:t> </w:t>
      </w:r>
      <w:bookmarkEnd w:id="44"/>
    </w:p>
    <w:p w14:paraId="3B313142" w14:textId="2FA9B580" w:rsidR="00FC13ED" w:rsidRPr="00A20489" w:rsidRDefault="00FC13ED" w:rsidP="00FC13ED">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146 aggiungere il seguente art. 146</w:t>
      </w:r>
      <w:r w:rsidR="00173E95">
        <w:rPr>
          <w:rFonts w:ascii="Bookman Old Style" w:hAnsi="Bookman Old Style"/>
          <w:i/>
          <w:iCs/>
          <w:sz w:val="22"/>
          <w:szCs w:val="22"/>
        </w:rPr>
        <w:t>-</w:t>
      </w:r>
      <w:r w:rsidRPr="00A20489">
        <w:rPr>
          <w:rFonts w:ascii="Bookman Old Style" w:hAnsi="Bookman Old Style"/>
          <w:i/>
          <w:iCs/>
          <w:sz w:val="22"/>
          <w:szCs w:val="22"/>
        </w:rPr>
        <w:t>bis</w:t>
      </w:r>
    </w:p>
    <w:p w14:paraId="1AA7B469" w14:textId="2A43CBC5" w:rsidR="00A873A2" w:rsidRPr="00A20489" w:rsidRDefault="00A873A2" w:rsidP="00A873A2">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All’articolo 4 del decreto-legge 24 giugno 2016, n. 113 convertito con modificazioni dalla legge 7 agosto 2016, n. 160, sono apportate le seguenti modificazioni:</w:t>
      </w:r>
      <w:r w:rsidRPr="00A20489">
        <w:rPr>
          <w:rStyle w:val="eop"/>
          <w:rFonts w:ascii="Bookman Old Style" w:hAnsi="Bookman Old Style" w:cs="Segoe UI"/>
          <w:sz w:val="22"/>
          <w:szCs w:val="22"/>
        </w:rPr>
        <w:t> </w:t>
      </w:r>
    </w:p>
    <w:p w14:paraId="2EC0E17C" w14:textId="77777777" w:rsidR="00A873A2" w:rsidRPr="00A20489" w:rsidRDefault="00A873A2" w:rsidP="00173E95">
      <w:pPr>
        <w:pStyle w:val="paragraph"/>
        <w:numPr>
          <w:ilvl w:val="0"/>
          <w:numId w:val="28"/>
        </w:numPr>
        <w:spacing w:before="0" w:beforeAutospacing="0" w:after="80" w:afterAutospacing="0" w:line="259" w:lineRule="auto"/>
        <w:ind w:left="426"/>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al comma 1, dopo il primo periodo, è aggiunto il seguente periodo: “</w:t>
      </w:r>
      <w:r w:rsidRPr="00A20489">
        <w:rPr>
          <w:rStyle w:val="normaltextrun"/>
          <w:rFonts w:ascii="Bookman Old Style" w:hAnsi="Bookman Old Style" w:cs="Segoe UI"/>
          <w:i/>
          <w:iCs/>
          <w:sz w:val="22"/>
          <w:szCs w:val="22"/>
        </w:rPr>
        <w:t>Per gli anni dal 2023 al 2025 la dotazione del fondo è finanziata, per ciascun anno, dal complesso delle risorse non attribuite negli anni precedenti.</w:t>
      </w:r>
      <w:r w:rsidRPr="00A20489">
        <w:rPr>
          <w:rStyle w:val="normaltextrun"/>
          <w:rFonts w:ascii="Bookman Old Style" w:hAnsi="Bookman Old Style" w:cs="Segoe UI"/>
          <w:sz w:val="22"/>
          <w:szCs w:val="22"/>
        </w:rPr>
        <w:t>”;</w:t>
      </w:r>
      <w:r w:rsidRPr="00A20489">
        <w:rPr>
          <w:rStyle w:val="eop"/>
          <w:rFonts w:ascii="Bookman Old Style" w:hAnsi="Bookman Old Style" w:cs="Segoe UI"/>
          <w:sz w:val="22"/>
          <w:szCs w:val="22"/>
        </w:rPr>
        <w:t> </w:t>
      </w:r>
    </w:p>
    <w:p w14:paraId="38971482" w14:textId="77777777" w:rsidR="00A873A2" w:rsidRPr="00A20489" w:rsidRDefault="00A873A2" w:rsidP="00173E95">
      <w:pPr>
        <w:pStyle w:val="paragraph"/>
        <w:numPr>
          <w:ilvl w:val="0"/>
          <w:numId w:val="28"/>
        </w:numPr>
        <w:spacing w:before="0" w:beforeAutospacing="0" w:after="80" w:afterAutospacing="0" w:line="259" w:lineRule="auto"/>
        <w:ind w:left="426"/>
        <w:jc w:val="both"/>
        <w:textAlignment w:val="baseline"/>
        <w:rPr>
          <w:rFonts w:ascii="Bookman Old Style" w:hAnsi="Bookman Old Style" w:cs="Segoe UI"/>
          <w:sz w:val="22"/>
          <w:szCs w:val="22"/>
        </w:rPr>
      </w:pPr>
      <w:r w:rsidRPr="00A20489">
        <w:rPr>
          <w:rStyle w:val="normaltextrun"/>
          <w:rFonts w:ascii="Bookman Old Style" w:hAnsi="Bookman Old Style" w:cs="Segoe UI"/>
          <w:sz w:val="22"/>
          <w:szCs w:val="22"/>
        </w:rPr>
        <w:t>al comma 2, primo periodo, le parole “</w:t>
      </w:r>
      <w:r w:rsidRPr="00A20489">
        <w:rPr>
          <w:rStyle w:val="normaltextrun"/>
          <w:rFonts w:ascii="Bookman Old Style" w:hAnsi="Bookman Old Style" w:cs="Segoe UI"/>
          <w:i/>
          <w:iCs/>
          <w:sz w:val="22"/>
          <w:szCs w:val="22"/>
        </w:rPr>
        <w:t>entro il 20 dicembre per ciascuno degli anni dal 2019 al 2022</w:t>
      </w:r>
      <w:r w:rsidRPr="00A20489">
        <w:rPr>
          <w:rStyle w:val="normaltextrun"/>
          <w:rFonts w:ascii="Bookman Old Style" w:hAnsi="Bookman Old Style" w:cs="Segoe UI"/>
          <w:sz w:val="22"/>
          <w:szCs w:val="22"/>
        </w:rPr>
        <w:t>” con le seguenti parole: “</w:t>
      </w:r>
      <w:r w:rsidRPr="00A20489">
        <w:rPr>
          <w:rStyle w:val="normaltextrun"/>
          <w:rFonts w:ascii="Bookman Old Style" w:hAnsi="Bookman Old Style" w:cs="Segoe UI"/>
          <w:i/>
          <w:iCs/>
          <w:sz w:val="22"/>
          <w:szCs w:val="22"/>
        </w:rPr>
        <w:t>entro il 20 dicembre per ciascuno degli anni dal 2019 al 2025</w:t>
      </w:r>
      <w:r w:rsidRPr="00A20489">
        <w:rPr>
          <w:rStyle w:val="normaltextrun"/>
          <w:rFonts w:ascii="Bookman Old Style" w:hAnsi="Bookman Old Style" w:cs="Segoe UI"/>
          <w:sz w:val="22"/>
          <w:szCs w:val="22"/>
        </w:rPr>
        <w:t>.”.</w:t>
      </w:r>
      <w:r w:rsidRPr="00A20489">
        <w:rPr>
          <w:rStyle w:val="eop"/>
          <w:rFonts w:ascii="Bookman Old Style" w:hAnsi="Bookman Old Style" w:cs="Segoe UI"/>
          <w:sz w:val="22"/>
          <w:szCs w:val="22"/>
        </w:rPr>
        <w:t> </w:t>
      </w:r>
    </w:p>
    <w:p w14:paraId="16FA9D7D" w14:textId="77777777" w:rsidR="00A873A2" w:rsidRPr="00A20489" w:rsidRDefault="00A873A2" w:rsidP="00A873A2">
      <w:pPr>
        <w:pStyle w:val="paragraph"/>
        <w:spacing w:before="0" w:beforeAutospacing="0" w:after="80" w:afterAutospacing="0" w:line="259" w:lineRule="auto"/>
        <w:jc w:val="center"/>
        <w:textAlignment w:val="baseline"/>
        <w:rPr>
          <w:rFonts w:ascii="Bookman Old Style" w:hAnsi="Bookman Old Style" w:cs="Segoe UI"/>
          <w:sz w:val="22"/>
          <w:szCs w:val="22"/>
        </w:rPr>
      </w:pPr>
      <w:r w:rsidRPr="00A20489">
        <w:rPr>
          <w:rStyle w:val="normaltextrun"/>
          <w:rFonts w:ascii="Bookman Old Style" w:hAnsi="Bookman Old Style" w:cs="Segoe UI"/>
          <w:b/>
          <w:bCs/>
          <w:sz w:val="22"/>
          <w:szCs w:val="22"/>
        </w:rPr>
        <w:t>Motivazione</w:t>
      </w:r>
      <w:r w:rsidRPr="00A20489">
        <w:rPr>
          <w:rStyle w:val="eop"/>
          <w:rFonts w:ascii="Bookman Old Style" w:hAnsi="Bookman Old Style" w:cs="Segoe UI"/>
          <w:sz w:val="22"/>
          <w:szCs w:val="22"/>
        </w:rPr>
        <w:t> </w:t>
      </w:r>
    </w:p>
    <w:p w14:paraId="5681AFC5" w14:textId="5F89CBB0" w:rsidR="00A873A2" w:rsidRPr="00A20489" w:rsidRDefault="00A873A2" w:rsidP="00A873A2">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i/>
          <w:iCs/>
          <w:sz w:val="22"/>
          <w:szCs w:val="22"/>
        </w:rPr>
        <w:t>Il “</w:t>
      </w:r>
      <w:r w:rsidRPr="00A20489">
        <w:rPr>
          <w:rStyle w:val="normaltextrun"/>
          <w:rFonts w:ascii="Bookman Old Style" w:hAnsi="Bookman Old Style" w:cs="Segoe UI"/>
          <w:b/>
          <w:bCs/>
          <w:i/>
          <w:iCs/>
          <w:sz w:val="22"/>
          <w:szCs w:val="22"/>
        </w:rPr>
        <w:t>Fondo per</w:t>
      </w:r>
      <w:r w:rsidRPr="00A20489">
        <w:rPr>
          <w:rStyle w:val="normaltextrun"/>
          <w:rFonts w:ascii="Bookman Old Style" w:hAnsi="Bookman Old Style" w:cs="Segoe UI"/>
          <w:i/>
          <w:iCs/>
          <w:sz w:val="22"/>
          <w:szCs w:val="22"/>
        </w:rPr>
        <w:t xml:space="preserve"> </w:t>
      </w:r>
      <w:r w:rsidRPr="00A20489">
        <w:rPr>
          <w:rStyle w:val="normaltextrun"/>
          <w:rFonts w:ascii="Bookman Old Style" w:hAnsi="Bookman Old Style" w:cs="Segoe UI"/>
          <w:b/>
          <w:bCs/>
          <w:i/>
          <w:iCs/>
          <w:sz w:val="22"/>
          <w:szCs w:val="22"/>
        </w:rPr>
        <w:t>contenziosi connessi a sentenze esecutive relative a calamità o cedimenti</w:t>
      </w:r>
      <w:r w:rsidRPr="00A20489">
        <w:rPr>
          <w:rStyle w:val="normaltextrun"/>
          <w:rFonts w:ascii="Bookman Old Style" w:hAnsi="Bookman Old Style" w:cs="Segoe UI"/>
          <w:i/>
          <w:iCs/>
          <w:sz w:val="22"/>
          <w:szCs w:val="22"/>
        </w:rPr>
        <w:t xml:space="preserve">” (art. 4 D.L. 113/2016 e s.m.i.) è stato istituito per garantire la sostenibilità economico-finanziaria e </w:t>
      </w:r>
      <w:r w:rsidRPr="00A20489">
        <w:rPr>
          <w:rStyle w:val="normaltextrun"/>
          <w:rFonts w:ascii="Bookman Old Style" w:hAnsi="Bookman Old Style" w:cs="Segoe UI"/>
          <w:b/>
          <w:bCs/>
          <w:i/>
          <w:iCs/>
          <w:sz w:val="22"/>
          <w:szCs w:val="22"/>
        </w:rPr>
        <w:t>prevenire situazioni di dissesto finanziario</w:t>
      </w:r>
      <w:r w:rsidRPr="00A20489">
        <w:rPr>
          <w:rStyle w:val="normaltextrun"/>
          <w:rFonts w:ascii="Bookman Old Style" w:hAnsi="Bookman Old Style" w:cs="Segoe UI"/>
          <w:i/>
          <w:iCs/>
          <w:sz w:val="22"/>
          <w:szCs w:val="22"/>
        </w:rPr>
        <w:t xml:space="preserve"> dei Comuni che si trovano nella oggettiva impossibilità di onorare le richieste di risarcimento connesse a sentenze esecutive di condanna per calamità naturali o cedimenti strutturali.</w:t>
      </w:r>
      <w:r w:rsidR="00901A9A">
        <w:rPr>
          <w:rStyle w:val="normaltextrun"/>
          <w:rFonts w:ascii="Bookman Old Style" w:hAnsi="Bookman Old Style" w:cs="Segoe UI"/>
          <w:i/>
          <w:iCs/>
          <w:sz w:val="22"/>
          <w:szCs w:val="22"/>
        </w:rPr>
        <w:t xml:space="preserve"> </w:t>
      </w:r>
    </w:p>
    <w:p w14:paraId="0032BF5A" w14:textId="0BBFD1B2" w:rsidR="00A873A2" w:rsidRPr="00A20489" w:rsidRDefault="00A873A2" w:rsidP="00A873A2">
      <w:pPr>
        <w:pStyle w:val="paragraph"/>
        <w:spacing w:before="0" w:beforeAutospacing="0" w:after="80" w:afterAutospacing="0" w:line="259" w:lineRule="auto"/>
        <w:jc w:val="both"/>
        <w:textAlignment w:val="baseline"/>
        <w:rPr>
          <w:rFonts w:ascii="Bookman Old Style" w:hAnsi="Bookman Old Style" w:cs="Segoe UI"/>
          <w:sz w:val="22"/>
          <w:szCs w:val="22"/>
        </w:rPr>
      </w:pPr>
      <w:r w:rsidRPr="00A20489">
        <w:rPr>
          <w:rStyle w:val="normaltextrun"/>
          <w:rFonts w:ascii="Bookman Old Style" w:hAnsi="Bookman Old Style" w:cs="Segoe UI"/>
          <w:b/>
          <w:bCs/>
          <w:i/>
          <w:iCs/>
          <w:sz w:val="22"/>
          <w:szCs w:val="22"/>
        </w:rPr>
        <w:t>Il 2022 è l’ultimo anno di operatività del Fondo e occorre pertanto una norma di chiusura che consenta di coprire eventuali code dovute a sentenze di prossima emanazione</w:t>
      </w:r>
      <w:r w:rsidRPr="00A20489">
        <w:rPr>
          <w:rStyle w:val="normaltextrun"/>
          <w:rFonts w:ascii="Bookman Old Style" w:hAnsi="Bookman Old Style" w:cs="Segoe UI"/>
          <w:i/>
          <w:iCs/>
          <w:sz w:val="22"/>
          <w:szCs w:val="22"/>
        </w:rPr>
        <w:t xml:space="preserve">. In base alle informazioni in nostro possesso sono infatti attese </w:t>
      </w:r>
      <w:r w:rsidRPr="00A20489">
        <w:rPr>
          <w:rStyle w:val="normaltextrun"/>
          <w:rFonts w:ascii="Bookman Old Style" w:hAnsi="Bookman Old Style" w:cs="Segoe UI"/>
          <w:b/>
          <w:bCs/>
          <w:i/>
          <w:iCs/>
          <w:sz w:val="22"/>
          <w:szCs w:val="22"/>
        </w:rPr>
        <w:t>ulteriori sentenze</w:t>
      </w:r>
      <w:r w:rsidRPr="00A20489">
        <w:rPr>
          <w:rStyle w:val="normaltextrun"/>
          <w:rFonts w:ascii="Bookman Old Style" w:hAnsi="Bookman Old Style" w:cs="Segoe UI"/>
          <w:i/>
          <w:iCs/>
          <w:sz w:val="22"/>
          <w:szCs w:val="22"/>
        </w:rPr>
        <w:t>, in particolare relative alla posizione del Comune di San Giuliano di Puglia, che potrebbero determinare richieste di risarcimento importanti con conseguente rischio di dissesto.</w:t>
      </w:r>
      <w:r w:rsidRPr="00A20489">
        <w:rPr>
          <w:rStyle w:val="eop"/>
          <w:rFonts w:ascii="Bookman Old Style" w:hAnsi="Bookman Old Style" w:cs="Segoe UI"/>
          <w:sz w:val="22"/>
          <w:szCs w:val="22"/>
        </w:rPr>
        <w:t> </w:t>
      </w:r>
      <w:r w:rsidRPr="00A20489">
        <w:rPr>
          <w:rStyle w:val="normaltextrun"/>
          <w:rFonts w:ascii="Bookman Old Style" w:hAnsi="Bookman Old Style" w:cs="Segoe UI"/>
          <w:i/>
          <w:iCs/>
          <w:sz w:val="22"/>
          <w:szCs w:val="22"/>
        </w:rPr>
        <w:t xml:space="preserve">La norma mira, pertanto, a prorogare per un ulteriore triennio l’operatività del Fondo </w:t>
      </w:r>
      <w:r w:rsidRPr="00A20489">
        <w:rPr>
          <w:rStyle w:val="normaltextrun"/>
          <w:rFonts w:ascii="Bookman Old Style" w:hAnsi="Bookman Old Style" w:cs="Segoe UI"/>
          <w:b/>
          <w:bCs/>
          <w:i/>
          <w:iCs/>
          <w:sz w:val="22"/>
          <w:szCs w:val="22"/>
        </w:rPr>
        <w:t xml:space="preserve">mediante l’utilizzo delle risorse non assegnate negli anni precedenti </w:t>
      </w:r>
      <w:r w:rsidRPr="00A20489">
        <w:rPr>
          <w:rStyle w:val="normaltextrun"/>
          <w:rFonts w:ascii="Bookman Old Style" w:hAnsi="Bookman Old Style" w:cs="Segoe UI"/>
          <w:i/>
          <w:iCs/>
          <w:sz w:val="22"/>
          <w:szCs w:val="22"/>
        </w:rPr>
        <w:t xml:space="preserve">per effetto di alcune peculiarità del dispositivo (sentenze che giungono a distanza di anni e la previsione di specifici vincoli di bilancio per l'accesso al Fondo). Tali economie ammontano a circa </w:t>
      </w:r>
      <w:r w:rsidRPr="00A20489">
        <w:rPr>
          <w:rStyle w:val="normaltextrun"/>
          <w:rFonts w:ascii="Bookman Old Style" w:hAnsi="Bookman Old Style" w:cs="Segoe UI"/>
          <w:b/>
          <w:bCs/>
          <w:i/>
          <w:iCs/>
          <w:sz w:val="22"/>
          <w:szCs w:val="22"/>
        </w:rPr>
        <w:t>10,3 milioni di euro</w:t>
      </w:r>
      <w:r w:rsidRPr="00A20489">
        <w:rPr>
          <w:rStyle w:val="normaltextrun"/>
          <w:rFonts w:ascii="Bookman Old Style" w:hAnsi="Bookman Old Style" w:cs="Segoe UI"/>
          <w:i/>
          <w:iCs/>
          <w:sz w:val="22"/>
          <w:szCs w:val="22"/>
        </w:rPr>
        <w:t xml:space="preserve"> a valere sulle risorse 2020 e 2021, alle quali dovranno essere aggiunte quelle che prevedibilmente deriveranno dal riparto 2022 (il riparto è previsto che avvenga entro marzo 2023 sulla base delle richieste presentate entro il 20 dicembre 2022).</w:t>
      </w:r>
      <w:r w:rsidRPr="00A20489">
        <w:rPr>
          <w:rStyle w:val="eop"/>
          <w:rFonts w:ascii="Bookman Old Style" w:hAnsi="Bookman Old Style" w:cs="Segoe UI"/>
          <w:sz w:val="22"/>
          <w:szCs w:val="22"/>
        </w:rPr>
        <w:t> </w:t>
      </w:r>
    </w:p>
    <w:p w14:paraId="35E39139" w14:textId="2823A12C" w:rsidR="00A873A2" w:rsidRDefault="00361B62" w:rsidP="00A873A2">
      <w:pPr>
        <w:pStyle w:val="paragraph"/>
        <w:spacing w:before="0" w:beforeAutospacing="0" w:after="80" w:afterAutospacing="0" w:line="259" w:lineRule="auto"/>
        <w:textAlignment w:val="baseline"/>
        <w:rPr>
          <w:rStyle w:val="eop"/>
          <w:rFonts w:ascii="Bookman Old Style" w:hAnsi="Bookman Old Style" w:cs="Calibri"/>
          <w:b/>
          <w:bCs/>
          <w:i/>
          <w:iCs/>
          <w:sz w:val="22"/>
          <w:szCs w:val="22"/>
        </w:rPr>
      </w:pPr>
      <w:r w:rsidRPr="00361B62">
        <w:rPr>
          <w:rStyle w:val="eop"/>
          <w:rFonts w:ascii="Bookman Old Style" w:hAnsi="Bookman Old Style" w:cs="Calibri"/>
          <w:b/>
          <w:bCs/>
          <w:i/>
          <w:iCs/>
          <w:sz w:val="22"/>
          <w:szCs w:val="22"/>
        </w:rPr>
        <w:t>La norma proposta non comporta oneri aggiuntivi per la finanza pubblica</w:t>
      </w:r>
    </w:p>
    <w:p w14:paraId="5565AD03" w14:textId="77777777" w:rsidR="00361B62" w:rsidRPr="00361B62" w:rsidRDefault="00361B62" w:rsidP="00A873A2">
      <w:pPr>
        <w:pStyle w:val="paragraph"/>
        <w:spacing w:before="0" w:beforeAutospacing="0" w:after="80" w:afterAutospacing="0" w:line="259" w:lineRule="auto"/>
        <w:textAlignment w:val="baseline"/>
        <w:rPr>
          <w:rFonts w:ascii="Bookman Old Style" w:hAnsi="Bookman Old Style" w:cs="Segoe UI"/>
          <w:b/>
          <w:bCs/>
          <w:i/>
          <w:iCs/>
          <w:sz w:val="22"/>
          <w:szCs w:val="22"/>
        </w:rPr>
      </w:pPr>
    </w:p>
    <w:p w14:paraId="33040D08" w14:textId="0ACC1553" w:rsidR="0013593F" w:rsidRPr="00B32FB7" w:rsidRDefault="0013593F"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45" w:name="_Toc121214281"/>
      <w:r w:rsidRPr="00B32FB7">
        <w:rPr>
          <w:rFonts w:ascii="Bookman Old Style" w:hAnsi="Bookman Old Style"/>
          <w:b/>
          <w:bCs/>
          <w:color w:val="2F5496" w:themeColor="accent1" w:themeShade="BF"/>
          <w:sz w:val="22"/>
          <w:szCs w:val="22"/>
        </w:rPr>
        <w:t xml:space="preserve">Sanatoria per inadempienza certificazioni </w:t>
      </w:r>
      <w:r w:rsidRPr="00F50E96">
        <w:rPr>
          <w:rFonts w:ascii="Bookman Old Style" w:hAnsi="Bookman Old Style"/>
          <w:b/>
          <w:bCs/>
          <w:color w:val="2F5496" w:themeColor="accent1" w:themeShade="BF"/>
          <w:sz w:val="22"/>
          <w:szCs w:val="22"/>
        </w:rPr>
        <w:t>Covid</w:t>
      </w:r>
      <w:r w:rsidRPr="00F50E96">
        <w:rPr>
          <w:rFonts w:ascii="Times New Roman" w:hAnsi="Times New Roman" w:cs="Times New Roman"/>
          <w:b/>
          <w:bCs/>
          <w:color w:val="2F5496" w:themeColor="accent1" w:themeShade="BF"/>
          <w:sz w:val="22"/>
          <w:szCs w:val="22"/>
        </w:rPr>
        <w:t> </w:t>
      </w:r>
      <w:r w:rsidR="00F50E96" w:rsidRPr="00F50E96">
        <w:rPr>
          <w:rFonts w:ascii="Bookman Old Style" w:hAnsi="Bookman Old Style" w:cs="Times New Roman"/>
          <w:b/>
          <w:bCs/>
          <w:color w:val="2F5496" w:themeColor="accent1" w:themeShade="BF"/>
          <w:sz w:val="22"/>
          <w:szCs w:val="22"/>
        </w:rPr>
        <w:t>(art. 143)</w:t>
      </w:r>
      <w:bookmarkEnd w:id="45"/>
    </w:p>
    <w:p w14:paraId="323E6C11" w14:textId="1F7E6EC7" w:rsidR="000A6159" w:rsidRPr="006943C4" w:rsidRDefault="00D16AE9" w:rsidP="006943C4">
      <w:pPr>
        <w:pStyle w:val="PreformattatoHTML"/>
        <w:shd w:val="clear" w:color="auto" w:fill="FFFFFF"/>
        <w:spacing w:after="80" w:line="259" w:lineRule="auto"/>
        <w:jc w:val="both"/>
        <w:rPr>
          <w:rFonts w:ascii="Bookman Old Style" w:hAnsi="Bookman Old Style"/>
          <w:i/>
          <w:iCs/>
          <w:sz w:val="22"/>
          <w:szCs w:val="22"/>
        </w:rPr>
      </w:pPr>
      <w:bookmarkStart w:id="46" w:name="_Hlk120714722"/>
      <w:r w:rsidRPr="006943C4">
        <w:rPr>
          <w:rFonts w:ascii="Bookman Old Style" w:hAnsi="Bookman Old Style"/>
          <w:i/>
          <w:iCs/>
          <w:sz w:val="22"/>
          <w:szCs w:val="22"/>
        </w:rPr>
        <w:t>Al</w:t>
      </w:r>
      <w:r w:rsidR="000A6159" w:rsidRPr="006943C4">
        <w:rPr>
          <w:rFonts w:ascii="Bookman Old Style" w:hAnsi="Bookman Old Style"/>
          <w:i/>
          <w:iCs/>
          <w:sz w:val="22"/>
          <w:szCs w:val="22"/>
        </w:rPr>
        <w:t>l’art. 1</w:t>
      </w:r>
      <w:r w:rsidR="007B0EFC" w:rsidRPr="006943C4">
        <w:rPr>
          <w:rFonts w:ascii="Bookman Old Style" w:hAnsi="Bookman Old Style"/>
          <w:i/>
          <w:iCs/>
          <w:sz w:val="22"/>
          <w:szCs w:val="22"/>
        </w:rPr>
        <w:t>43</w:t>
      </w:r>
      <w:r w:rsidR="000A6159" w:rsidRPr="006943C4">
        <w:rPr>
          <w:rFonts w:ascii="Bookman Old Style" w:hAnsi="Bookman Old Style"/>
          <w:i/>
          <w:iCs/>
          <w:sz w:val="22"/>
          <w:szCs w:val="22"/>
        </w:rPr>
        <w:t xml:space="preserve"> aggiungere il seguente </w:t>
      </w:r>
      <w:r w:rsidRPr="006943C4">
        <w:rPr>
          <w:rFonts w:ascii="Bookman Old Style" w:hAnsi="Bookman Old Style"/>
          <w:i/>
          <w:iCs/>
          <w:sz w:val="22"/>
          <w:szCs w:val="22"/>
        </w:rPr>
        <w:t>comma:</w:t>
      </w:r>
    </w:p>
    <w:bookmarkEnd w:id="46"/>
    <w:p w14:paraId="0648355A" w14:textId="023F8A4F" w:rsidR="006206F9" w:rsidRPr="006943C4" w:rsidRDefault="0061369C" w:rsidP="006943C4">
      <w:pPr>
        <w:pStyle w:val="paragraph"/>
        <w:spacing w:before="0" w:beforeAutospacing="0" w:after="80" w:afterAutospacing="0" w:line="259" w:lineRule="auto"/>
        <w:jc w:val="both"/>
        <w:textAlignment w:val="baseline"/>
        <w:rPr>
          <w:rStyle w:val="normaltextrun"/>
          <w:rFonts w:ascii="Bookman Old Style" w:hAnsi="Bookman Old Style"/>
          <w:sz w:val="22"/>
          <w:szCs w:val="22"/>
        </w:rPr>
      </w:pPr>
      <w:r w:rsidRPr="006943C4">
        <w:rPr>
          <w:rStyle w:val="normaltextrun"/>
          <w:rFonts w:ascii="Bookman Old Style" w:hAnsi="Bookman Old Style" w:cs="Segoe UI"/>
          <w:sz w:val="22"/>
          <w:szCs w:val="22"/>
        </w:rPr>
        <w:t>“</w:t>
      </w:r>
      <w:r w:rsidR="00D16AE9" w:rsidRPr="006943C4">
        <w:rPr>
          <w:rStyle w:val="normaltextrun"/>
          <w:rFonts w:ascii="Bookman Old Style" w:hAnsi="Bookman Old Style" w:cs="Segoe UI"/>
          <w:sz w:val="22"/>
          <w:szCs w:val="22"/>
        </w:rPr>
        <w:t xml:space="preserve">2. </w:t>
      </w:r>
      <w:r w:rsidR="006206F9" w:rsidRPr="006943C4">
        <w:rPr>
          <w:rStyle w:val="normaltextrun"/>
          <w:rFonts w:ascii="Bookman Old Style" w:hAnsi="Bookman Old Style" w:cs="Segoe UI"/>
          <w:sz w:val="22"/>
          <w:szCs w:val="22"/>
        </w:rPr>
        <w:t xml:space="preserve">Le sanzioni di cui all’articolo 39, comma 3, del decreto legge 14 agosto 2020, n. 104, convertito con modificazioni dalla legge 13 ottobre 2020, n. 126 e di cui all’articolo 1, comma 828, della legge 30 dicembre 2020, n. 178 non si applicano qualora gli enti locali inadempienti trasmettano, entro il termine perentorio del 28 febbraio 2023, le certificazioni non inviate o inviate in modo incompleto al Ministero dell’economia e delle finanze – Dipartimento della ragioneria generale dello stato, utilizzando l’applicativo web </w:t>
      </w:r>
      <w:hyperlink r:id="rId12" w:history="1">
        <w:r w:rsidR="006206F9" w:rsidRPr="006943C4">
          <w:rPr>
            <w:rStyle w:val="normaltextrun"/>
            <w:rFonts w:ascii="Bookman Old Style" w:hAnsi="Bookman Old Style" w:cs="Segoe UI"/>
            <w:color w:val="0563C1"/>
            <w:sz w:val="22"/>
            <w:szCs w:val="22"/>
            <w:u w:val="single"/>
          </w:rPr>
          <w:t>http://pareggiobilancio.mef.gov.it</w:t>
        </w:r>
      </w:hyperlink>
      <w:r w:rsidR="006206F9" w:rsidRPr="006943C4">
        <w:rPr>
          <w:rStyle w:val="normaltextrun"/>
          <w:rFonts w:ascii="Bookman Old Style" w:hAnsi="Bookman Old Style" w:cs="Segoe UI"/>
          <w:sz w:val="22"/>
          <w:szCs w:val="22"/>
        </w:rPr>
        <w:t>.”</w:t>
      </w:r>
      <w:r w:rsidR="00901A9A">
        <w:rPr>
          <w:rStyle w:val="normaltextrun"/>
          <w:rFonts w:ascii="Bookman Old Style" w:hAnsi="Bookman Old Style"/>
          <w:sz w:val="22"/>
          <w:szCs w:val="22"/>
        </w:rPr>
        <w:t xml:space="preserve"> </w:t>
      </w:r>
    </w:p>
    <w:p w14:paraId="6F82BECB" w14:textId="67B0B319" w:rsidR="0061369C" w:rsidRPr="006943C4" w:rsidRDefault="0061369C" w:rsidP="006943C4">
      <w:pPr>
        <w:pStyle w:val="paragraph"/>
        <w:spacing w:before="0" w:beforeAutospacing="0" w:after="80" w:afterAutospacing="0" w:line="259" w:lineRule="auto"/>
        <w:jc w:val="both"/>
        <w:textAlignment w:val="baseline"/>
        <w:rPr>
          <w:rStyle w:val="normaltextrun"/>
          <w:rFonts w:ascii="Bookman Old Style" w:hAnsi="Bookman Old Style"/>
          <w:i/>
          <w:iCs/>
          <w:sz w:val="22"/>
          <w:szCs w:val="22"/>
        </w:rPr>
      </w:pPr>
      <w:r w:rsidRPr="006943C4">
        <w:rPr>
          <w:rStyle w:val="normaltextrun"/>
          <w:rFonts w:ascii="Bookman Old Style" w:hAnsi="Bookman Old Style"/>
          <w:i/>
          <w:iCs/>
          <w:sz w:val="22"/>
          <w:szCs w:val="22"/>
        </w:rPr>
        <w:t xml:space="preserve">Conseguentemente, la rubrica dell’articolo è modificata in “Conguaglio finale a seguito di certificazione ristori Covid e abbattimento </w:t>
      </w:r>
      <w:r w:rsidR="006943C4" w:rsidRPr="006943C4">
        <w:rPr>
          <w:rStyle w:val="normaltextrun"/>
          <w:rFonts w:ascii="Bookman Old Style" w:hAnsi="Bookman Old Style"/>
          <w:i/>
          <w:iCs/>
          <w:sz w:val="22"/>
          <w:szCs w:val="22"/>
        </w:rPr>
        <w:t>sanzioni”</w:t>
      </w:r>
    </w:p>
    <w:p w14:paraId="1B337033" w14:textId="77777777" w:rsidR="006206F9" w:rsidRPr="006943C4" w:rsidRDefault="006206F9" w:rsidP="006943C4">
      <w:pPr>
        <w:pStyle w:val="paragraph"/>
        <w:spacing w:before="0" w:beforeAutospacing="0" w:after="80" w:afterAutospacing="0" w:line="259" w:lineRule="auto"/>
        <w:jc w:val="center"/>
        <w:textAlignment w:val="baseline"/>
        <w:rPr>
          <w:rFonts w:ascii="Bookman Old Style" w:hAnsi="Bookman Old Style" w:cs="Segoe UI"/>
          <w:sz w:val="22"/>
          <w:szCs w:val="22"/>
        </w:rPr>
      </w:pPr>
      <w:r w:rsidRPr="006943C4">
        <w:rPr>
          <w:rStyle w:val="normaltextrun"/>
          <w:sz w:val="22"/>
          <w:szCs w:val="22"/>
        </w:rPr>
        <w:t> </w:t>
      </w:r>
      <w:r w:rsidRPr="006943C4">
        <w:rPr>
          <w:rStyle w:val="normaltextrun"/>
          <w:rFonts w:ascii="Bookman Old Style" w:hAnsi="Bookman Old Style" w:cs="Segoe UI"/>
          <w:b/>
          <w:bCs/>
          <w:sz w:val="22"/>
          <w:szCs w:val="22"/>
        </w:rPr>
        <w:t>Motivazione</w:t>
      </w:r>
      <w:r w:rsidRPr="006943C4">
        <w:rPr>
          <w:rStyle w:val="normaltextrun"/>
          <w:sz w:val="22"/>
          <w:szCs w:val="22"/>
        </w:rPr>
        <w:t> </w:t>
      </w:r>
    </w:p>
    <w:p w14:paraId="1F641857" w14:textId="77777777" w:rsidR="006206F9" w:rsidRPr="006943C4" w:rsidRDefault="006206F9" w:rsidP="006943C4">
      <w:pPr>
        <w:pStyle w:val="paragraph"/>
        <w:spacing w:before="0" w:beforeAutospacing="0" w:after="80" w:afterAutospacing="0" w:line="259" w:lineRule="auto"/>
        <w:jc w:val="both"/>
        <w:textAlignment w:val="baseline"/>
        <w:rPr>
          <w:rFonts w:ascii="Bookman Old Style" w:hAnsi="Bookman Old Style" w:cs="Segoe UI"/>
          <w:sz w:val="22"/>
          <w:szCs w:val="22"/>
        </w:rPr>
      </w:pPr>
      <w:r w:rsidRPr="006943C4">
        <w:rPr>
          <w:rStyle w:val="normaltextrun"/>
          <w:rFonts w:ascii="Bookman Old Style" w:hAnsi="Bookman Old Style" w:cs="Segoe UI"/>
          <w:i/>
          <w:iCs/>
          <w:sz w:val="22"/>
          <w:szCs w:val="22"/>
        </w:rPr>
        <w:t>Si ricorda in via preliminare che gli enti locali, nel biennio 2021-2022, erano tenuti ad inviare al MEF – Ragioneria generale dello Stato apposite certificazioni circa l’utilizzo delle risorse straordinarie acquisite in ragione dell’emergenza epidemiologica da “Covid-19”, pena le pesanti sanzioni in questione (tra l’80 e il 100% delle risorse acquisite).</w:t>
      </w:r>
    </w:p>
    <w:p w14:paraId="5E0683D7" w14:textId="77777777" w:rsidR="006206F9" w:rsidRPr="006943C4" w:rsidRDefault="006206F9" w:rsidP="006943C4">
      <w:pPr>
        <w:pStyle w:val="paragraph"/>
        <w:spacing w:before="0" w:beforeAutospacing="0" w:after="80" w:afterAutospacing="0" w:line="259" w:lineRule="auto"/>
        <w:jc w:val="both"/>
        <w:textAlignment w:val="baseline"/>
        <w:rPr>
          <w:rFonts w:ascii="Bookman Old Style" w:hAnsi="Bookman Old Style" w:cs="Segoe UI"/>
          <w:sz w:val="22"/>
          <w:szCs w:val="22"/>
        </w:rPr>
      </w:pPr>
      <w:r w:rsidRPr="006943C4">
        <w:rPr>
          <w:rStyle w:val="normaltextrun"/>
          <w:rFonts w:ascii="Bookman Old Style" w:hAnsi="Bookman Old Style" w:cs="Segoe UI"/>
          <w:i/>
          <w:iCs/>
          <w:sz w:val="22"/>
          <w:szCs w:val="22"/>
        </w:rPr>
        <w:t>La proposta emendativa intende concedere agli enti inadempienti (peraltro limitati ad alcune decine) la possibilità di inviare e/o rettificare le certificazioni oggetto delle richiamate sanzioni, in considerazione delle straordinarie ed oggettive difficoltà che hanno accompagnato la gestione amministrativa e contabile degli enti locali nel corso dell’emergenza epidemiologica.</w:t>
      </w:r>
    </w:p>
    <w:p w14:paraId="3AFCBED3" w14:textId="77777777" w:rsidR="006206F9" w:rsidRPr="006943C4" w:rsidRDefault="006206F9" w:rsidP="006943C4">
      <w:pPr>
        <w:pStyle w:val="paragraph"/>
        <w:spacing w:before="0" w:beforeAutospacing="0" w:after="80" w:afterAutospacing="0" w:line="259" w:lineRule="auto"/>
        <w:jc w:val="both"/>
        <w:textAlignment w:val="baseline"/>
        <w:rPr>
          <w:rFonts w:ascii="Bookman Old Style" w:hAnsi="Bookman Old Style" w:cs="Segoe UI"/>
          <w:sz w:val="22"/>
          <w:szCs w:val="22"/>
        </w:rPr>
      </w:pPr>
      <w:r w:rsidRPr="006943C4">
        <w:rPr>
          <w:rStyle w:val="normaltextrun"/>
          <w:rFonts w:ascii="Bookman Old Style" w:hAnsi="Bookman Old Style" w:cs="Segoe UI"/>
          <w:i/>
          <w:iCs/>
          <w:sz w:val="22"/>
          <w:szCs w:val="22"/>
        </w:rPr>
        <w:t>A giustificazione ulteriore della modifica normativa qui presentata, l’emendamento proposto intende favorire una programmazione sostenibile dei bilanci 2023-2025, senza sacrificare ulteriormente le spese necessarie a garantire i servizi essenziali, già messi a dura prova dagli effetti finanziari del caro bollette.</w:t>
      </w:r>
    </w:p>
    <w:p w14:paraId="0D3177D4" w14:textId="77777777" w:rsidR="006206F9" w:rsidRPr="006943C4" w:rsidRDefault="006206F9" w:rsidP="006943C4">
      <w:pPr>
        <w:pStyle w:val="paragraph"/>
        <w:spacing w:before="0" w:beforeAutospacing="0" w:after="80" w:afterAutospacing="0" w:line="259" w:lineRule="auto"/>
        <w:jc w:val="both"/>
        <w:textAlignment w:val="baseline"/>
        <w:rPr>
          <w:rFonts w:ascii="Bookman Old Style" w:hAnsi="Bookman Old Style" w:cs="Segoe UI"/>
          <w:sz w:val="22"/>
          <w:szCs w:val="22"/>
        </w:rPr>
      </w:pPr>
      <w:r w:rsidRPr="006943C4">
        <w:rPr>
          <w:rStyle w:val="normaltextrun"/>
          <w:rFonts w:ascii="Bookman Old Style" w:hAnsi="Bookman Old Style" w:cs="Segoe UI"/>
          <w:i/>
          <w:iCs/>
          <w:sz w:val="22"/>
          <w:szCs w:val="22"/>
        </w:rPr>
        <w:t>La modifica proposta non comporta alcun aggravio per la finanza pubblica.</w:t>
      </w:r>
    </w:p>
    <w:p w14:paraId="1D0D8CA7" w14:textId="1CC98AC3" w:rsidR="009F2762" w:rsidRDefault="009F2762" w:rsidP="006943C4">
      <w:pPr>
        <w:spacing w:after="80"/>
        <w:rPr>
          <w:rFonts w:ascii="Bookman Old Style" w:eastAsiaTheme="majorEastAsia" w:hAnsi="Bookman Old Style" w:cstheme="majorBidi"/>
          <w:b/>
          <w:bCs/>
          <w:color w:val="2F5496" w:themeColor="accent1" w:themeShade="BF"/>
        </w:rPr>
      </w:pPr>
    </w:p>
    <w:p w14:paraId="481212D6" w14:textId="77777777" w:rsidR="00B729D5" w:rsidRPr="006943C4" w:rsidRDefault="00B729D5" w:rsidP="006943C4">
      <w:pPr>
        <w:spacing w:after="80"/>
        <w:rPr>
          <w:rFonts w:ascii="Bookman Old Style" w:eastAsiaTheme="majorEastAsia" w:hAnsi="Bookman Old Style" w:cstheme="majorBidi"/>
          <w:b/>
          <w:bCs/>
          <w:color w:val="2F5496" w:themeColor="accent1" w:themeShade="BF"/>
        </w:rPr>
      </w:pPr>
    </w:p>
    <w:p w14:paraId="20393607" w14:textId="2D4DCF11" w:rsidR="0005635C" w:rsidRPr="00A20489" w:rsidRDefault="0005635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47" w:name="_Toc121214282"/>
      <w:r w:rsidRPr="00CF6830">
        <w:rPr>
          <w:rFonts w:ascii="Bookman Old Style" w:hAnsi="Bookman Old Style"/>
          <w:b/>
          <w:bCs/>
          <w:color w:val="2F5496" w:themeColor="accent1" w:themeShade="BF"/>
          <w:sz w:val="22"/>
          <w:szCs w:val="22"/>
        </w:rPr>
        <w:t>Sospensione</w:t>
      </w:r>
      <w:r w:rsidRPr="00A20489">
        <w:rPr>
          <w:rFonts w:ascii="Bookman Old Style" w:hAnsi="Bookman Old Style"/>
          <w:b/>
          <w:bCs/>
          <w:color w:val="2F5496" w:themeColor="accent1" w:themeShade="BF"/>
          <w:sz w:val="22"/>
          <w:szCs w:val="22"/>
        </w:rPr>
        <w:t xml:space="preserve"> della sanzione per mancata compilazione questionari Sose e comunicazione dati contabili</w:t>
      </w:r>
      <w:bookmarkEnd w:id="47"/>
    </w:p>
    <w:p w14:paraId="09272110" w14:textId="037336A4" w:rsidR="00273447" w:rsidRPr="00A20489" w:rsidRDefault="00273447" w:rsidP="00273447">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w:t>
      </w:r>
      <w:r w:rsidR="00192914" w:rsidRPr="00A20489">
        <w:rPr>
          <w:rFonts w:ascii="Bookman Old Style" w:hAnsi="Bookman Old Style"/>
          <w:i/>
          <w:iCs/>
          <w:sz w:val="22"/>
          <w:szCs w:val="22"/>
        </w:rPr>
        <w:t>46</w:t>
      </w:r>
      <w:r w:rsidRPr="00A20489">
        <w:rPr>
          <w:rFonts w:ascii="Bookman Old Style" w:hAnsi="Bookman Old Style"/>
          <w:i/>
          <w:iCs/>
          <w:sz w:val="22"/>
          <w:szCs w:val="22"/>
        </w:rPr>
        <w:t xml:space="preserve"> aggiungere il seguente art. 1</w:t>
      </w:r>
      <w:r w:rsidR="00192914" w:rsidRPr="00A20489">
        <w:rPr>
          <w:rFonts w:ascii="Bookman Old Style" w:hAnsi="Bookman Old Style"/>
          <w:i/>
          <w:iCs/>
          <w:sz w:val="22"/>
          <w:szCs w:val="22"/>
        </w:rPr>
        <w:t>46</w:t>
      </w:r>
      <w:r w:rsidRPr="00A20489">
        <w:rPr>
          <w:rFonts w:ascii="Bookman Old Style" w:hAnsi="Bookman Old Style"/>
          <w:i/>
          <w:iCs/>
          <w:sz w:val="22"/>
          <w:szCs w:val="22"/>
        </w:rPr>
        <w:t xml:space="preserve"> bis</w:t>
      </w:r>
    </w:p>
    <w:p w14:paraId="23D4D601" w14:textId="346EF636" w:rsidR="00081F66" w:rsidRPr="00A20489" w:rsidRDefault="00081F66" w:rsidP="00081F66">
      <w:pPr>
        <w:jc w:val="both"/>
        <w:rPr>
          <w:rFonts w:ascii="Bookman Old Style" w:hAnsi="Bookman Old Style"/>
        </w:rPr>
      </w:pPr>
      <w:r w:rsidRPr="00A20489">
        <w:rPr>
          <w:rFonts w:ascii="Bookman Old Style" w:hAnsi="Bookman Old Style"/>
        </w:rPr>
        <w:t xml:space="preserve">“Le sanzioni di cui all'art. 5, comma 1, lettera c), del decreto legislativo 26 novembre 2010, n. 216 e le sanzioni di cui all'art. 161, comma 4, del decreto legislativo 18 agosto 2000, n. 267 non si applicano </w:t>
      </w:r>
      <w:r w:rsidR="00DC6D8A" w:rsidRPr="00A20489">
        <w:rPr>
          <w:rFonts w:ascii="Bookman Old Style" w:hAnsi="Bookman Old Style"/>
        </w:rPr>
        <w:t>fino al 31 marzo 2023</w:t>
      </w:r>
      <w:r w:rsidRPr="00A20489">
        <w:rPr>
          <w:rFonts w:ascii="Bookman Old Style" w:hAnsi="Bookman Old Style"/>
        </w:rPr>
        <w:t>.”</w:t>
      </w:r>
    </w:p>
    <w:p w14:paraId="06DB1B98" w14:textId="260CE1C4" w:rsidR="00081F66" w:rsidRPr="00A20489" w:rsidRDefault="00081F66" w:rsidP="00081F66">
      <w:pPr>
        <w:jc w:val="center"/>
        <w:rPr>
          <w:rFonts w:ascii="Bookman Old Style" w:hAnsi="Bookman Old Style"/>
        </w:rPr>
      </w:pPr>
      <w:r w:rsidRPr="00A20489">
        <w:rPr>
          <w:rFonts w:ascii="Bookman Old Style" w:hAnsi="Bookman Old Style"/>
          <w:b/>
          <w:bCs/>
        </w:rPr>
        <w:t>M</w:t>
      </w:r>
      <w:r w:rsidR="00A13235" w:rsidRPr="00A20489">
        <w:rPr>
          <w:rFonts w:ascii="Bookman Old Style" w:hAnsi="Bookman Old Style"/>
          <w:b/>
          <w:bCs/>
        </w:rPr>
        <w:t>otivazione</w:t>
      </w:r>
    </w:p>
    <w:p w14:paraId="19A9F75B" w14:textId="31C66575" w:rsidR="00081F66" w:rsidRDefault="00081F66" w:rsidP="00081F66">
      <w:pPr>
        <w:jc w:val="both"/>
        <w:rPr>
          <w:rFonts w:ascii="Bookman Old Style" w:hAnsi="Bookman Old Style"/>
          <w:i/>
          <w:iCs/>
        </w:rPr>
      </w:pPr>
      <w:r w:rsidRPr="00A20489">
        <w:rPr>
          <w:rFonts w:ascii="Bookman Old Style" w:hAnsi="Bookman Old Style"/>
          <w:i/>
          <w:iCs/>
        </w:rPr>
        <w:t xml:space="preserve">Alla luce dell’urgenza e della necessità di potere utilizzare le risorse del PNRR per rigenerazione urbana, PUI, piccole e medie opere e altri interventi, appare opportuno </w:t>
      </w:r>
      <w:r w:rsidR="002E5DB9" w:rsidRPr="00A20489">
        <w:rPr>
          <w:rFonts w:ascii="Bookman Old Style" w:hAnsi="Bookman Old Style"/>
          <w:i/>
          <w:iCs/>
        </w:rPr>
        <w:t xml:space="preserve">sospendere </w:t>
      </w:r>
      <w:r w:rsidR="00777B28" w:rsidRPr="00A20489">
        <w:rPr>
          <w:rFonts w:ascii="Bookman Old Style" w:hAnsi="Bookman Old Style"/>
          <w:i/>
          <w:iCs/>
        </w:rPr>
        <w:t xml:space="preserve">le </w:t>
      </w:r>
      <w:r w:rsidRPr="00A20489">
        <w:rPr>
          <w:rFonts w:ascii="Bookman Old Style" w:hAnsi="Bookman Old Style"/>
          <w:i/>
          <w:iCs/>
        </w:rPr>
        <w:t>sanzioni relative al blocco dei trasferimenti erogati ai Comuni dal Ministero dell’interno per le inadempienze sulla compilazione dei “questionari SOSE” (di cui all’art. 5, co. 1, lett. c), d.lgs. n.216/2010) e per la mancata comunicazione a BDAP dei dati di bilancio (ex art. 161, co.4, TUEL).</w:t>
      </w:r>
    </w:p>
    <w:p w14:paraId="1A2D1C35" w14:textId="77777777" w:rsidR="009E349D" w:rsidRDefault="009E349D" w:rsidP="00081F66">
      <w:pPr>
        <w:jc w:val="both"/>
        <w:rPr>
          <w:rFonts w:ascii="Bookman Old Style" w:hAnsi="Bookman Old Style"/>
          <w:i/>
          <w:iCs/>
        </w:rPr>
      </w:pPr>
    </w:p>
    <w:p w14:paraId="28454AD5" w14:textId="77777777" w:rsidR="00B729D5" w:rsidRDefault="00B729D5" w:rsidP="00081F66">
      <w:pPr>
        <w:jc w:val="both"/>
        <w:rPr>
          <w:rFonts w:ascii="Bookman Old Style" w:hAnsi="Bookman Old Style"/>
          <w:i/>
          <w:iCs/>
        </w:rPr>
      </w:pPr>
    </w:p>
    <w:p w14:paraId="559B2197" w14:textId="49A68D7D" w:rsidR="009D2545" w:rsidRPr="00E67E40" w:rsidRDefault="0056793E"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48" w:name="_Toc121214283"/>
      <w:bookmarkStart w:id="49" w:name="_Toc117260605"/>
      <w:r w:rsidRPr="00E67E40">
        <w:rPr>
          <w:rFonts w:ascii="Bookman Old Style" w:hAnsi="Bookman Old Style"/>
          <w:b/>
          <w:bCs/>
          <w:color w:val="2F5496" w:themeColor="accent1" w:themeShade="BF"/>
          <w:sz w:val="22"/>
          <w:szCs w:val="22"/>
        </w:rPr>
        <w:t xml:space="preserve">Revisione della disciplina </w:t>
      </w:r>
      <w:r w:rsidR="009D2545" w:rsidRPr="00E67E40">
        <w:rPr>
          <w:rFonts w:ascii="Bookman Old Style" w:hAnsi="Bookman Old Style"/>
          <w:b/>
          <w:bCs/>
          <w:color w:val="2F5496" w:themeColor="accent1" w:themeShade="BF"/>
          <w:sz w:val="22"/>
          <w:szCs w:val="22"/>
        </w:rPr>
        <w:t>contabile delle anticipazioni di liquidità per gli enti in dissesto (art. 146)</w:t>
      </w:r>
      <w:bookmarkEnd w:id="48"/>
    </w:p>
    <w:p w14:paraId="274B6066" w14:textId="77777777" w:rsidR="00202188" w:rsidRPr="002C0FFF" w:rsidRDefault="009D2545" w:rsidP="009D2545">
      <w:pPr>
        <w:rPr>
          <w:rFonts w:ascii="Bookman Old Style" w:hAnsi="Bookman Old Style" w:cs="Times New Roman"/>
          <w:i/>
          <w:iCs/>
        </w:rPr>
      </w:pPr>
      <w:r w:rsidRPr="002C0FFF">
        <w:rPr>
          <w:rFonts w:ascii="Bookman Old Style" w:hAnsi="Bookman Old Style"/>
          <w:i/>
          <w:iCs/>
        </w:rPr>
        <w:t>L</w:t>
      </w:r>
      <w:r w:rsidR="0056793E" w:rsidRPr="002C0FFF">
        <w:rPr>
          <w:rFonts w:ascii="Times New Roman" w:hAnsi="Times New Roman" w:cs="Times New Roman"/>
          <w:i/>
          <w:iCs/>
        </w:rPr>
        <w:t> </w:t>
      </w:r>
      <w:bookmarkEnd w:id="49"/>
      <w:r w:rsidRPr="002C0FFF">
        <w:rPr>
          <w:rFonts w:ascii="Bookman Old Style" w:hAnsi="Bookman Old Style" w:cs="Times New Roman"/>
          <w:i/>
          <w:iCs/>
        </w:rPr>
        <w:t xml:space="preserve">’articolo </w:t>
      </w:r>
      <w:r w:rsidR="00D9634F" w:rsidRPr="002C0FFF">
        <w:rPr>
          <w:rFonts w:ascii="Bookman Old Style" w:hAnsi="Bookman Old Style" w:cs="Times New Roman"/>
          <w:i/>
          <w:iCs/>
        </w:rPr>
        <w:t>142 è sostituito dal seguente</w:t>
      </w:r>
      <w:r w:rsidR="00202188" w:rsidRPr="002C0FFF">
        <w:rPr>
          <w:rFonts w:ascii="Bookman Old Style" w:hAnsi="Bookman Old Style" w:cs="Times New Roman"/>
          <w:i/>
          <w:iCs/>
        </w:rPr>
        <w:t>:</w:t>
      </w:r>
    </w:p>
    <w:p w14:paraId="010DF024" w14:textId="5CC028A7" w:rsidR="0056793E" w:rsidRPr="002C0FFF" w:rsidRDefault="00202188" w:rsidP="002C0FFF">
      <w:pPr>
        <w:jc w:val="center"/>
        <w:rPr>
          <w:rFonts w:ascii="Bookman Old Style" w:hAnsi="Bookman Old Style"/>
          <w:i/>
          <w:iCs/>
        </w:rPr>
      </w:pPr>
      <w:r w:rsidRPr="002C0FFF">
        <w:rPr>
          <w:rFonts w:ascii="Bookman Old Style" w:hAnsi="Bookman Old Style" w:cs="Times New Roman"/>
          <w:i/>
          <w:iCs/>
        </w:rPr>
        <w:t>Art. 142 (</w:t>
      </w:r>
      <w:r w:rsidR="006606BC" w:rsidRPr="002C0FFF">
        <w:rPr>
          <w:rFonts w:ascii="Bookman Old Style" w:hAnsi="Bookman Old Style" w:cs="Times New Roman"/>
          <w:i/>
          <w:iCs/>
        </w:rPr>
        <w:t>R</w:t>
      </w:r>
      <w:r w:rsidRPr="002C0FFF">
        <w:rPr>
          <w:rFonts w:ascii="Bookman Old Style" w:hAnsi="Bookman Old Style" w:cs="Times New Roman"/>
          <w:i/>
          <w:iCs/>
        </w:rPr>
        <w:t xml:space="preserve">evisione degli adempimenti degli enti in dissesto </w:t>
      </w:r>
      <w:r w:rsidR="006606BC" w:rsidRPr="002C0FFF">
        <w:rPr>
          <w:rFonts w:ascii="Bookman Old Style" w:hAnsi="Bookman Old Style" w:cs="Times New Roman"/>
          <w:i/>
          <w:iCs/>
        </w:rPr>
        <w:t>in materia di anticipazioni di liquidità)</w:t>
      </w:r>
    </w:p>
    <w:p w14:paraId="79B423C2" w14:textId="7035B260" w:rsidR="00ED2172" w:rsidRPr="00E12138" w:rsidRDefault="000B2271" w:rsidP="00ED2172">
      <w:pPr>
        <w:pStyle w:val="Testonotaapidipagina"/>
        <w:spacing w:after="80" w:line="259" w:lineRule="auto"/>
        <w:jc w:val="both"/>
        <w:rPr>
          <w:rFonts w:ascii="Bookman Old Style" w:hAnsi="Bookman Old Style"/>
          <w:sz w:val="22"/>
          <w:szCs w:val="22"/>
        </w:rPr>
      </w:pPr>
      <w:r w:rsidRPr="00E12138">
        <w:rPr>
          <w:rFonts w:ascii="Bookman Old Style" w:hAnsi="Bookman Old Style"/>
          <w:iCs/>
          <w:sz w:val="22"/>
          <w:szCs w:val="22"/>
        </w:rPr>
        <w:t xml:space="preserve">1. </w:t>
      </w:r>
      <w:r w:rsidR="00ED2172" w:rsidRPr="00E12138">
        <w:rPr>
          <w:rFonts w:ascii="Bookman Old Style" w:hAnsi="Bookman Old Style"/>
          <w:iCs/>
          <w:sz w:val="22"/>
          <w:szCs w:val="22"/>
        </w:rPr>
        <w:t xml:space="preserve">All’articolo 16 del decreto legge 9 agosto 2022, n. 115, convertito con modificazioni dalla L. 21 settembre 2022, n. 142, il comma 6-ter è sostituito dal seguente: </w:t>
      </w:r>
    </w:p>
    <w:p w14:paraId="0ECCB3F4" w14:textId="503986B5" w:rsidR="00ED2172" w:rsidRPr="00E12138" w:rsidRDefault="00ED2172" w:rsidP="000B2271">
      <w:pPr>
        <w:pStyle w:val="Testonotaapidipagina"/>
        <w:spacing w:after="80" w:line="259" w:lineRule="auto"/>
        <w:jc w:val="both"/>
        <w:rPr>
          <w:rFonts w:ascii="Bookman Old Style" w:hAnsi="Bookman Old Style"/>
          <w:sz w:val="22"/>
          <w:szCs w:val="22"/>
        </w:rPr>
      </w:pPr>
      <w:r w:rsidRPr="00E12138">
        <w:rPr>
          <w:rFonts w:ascii="Bookman Old Style" w:hAnsi="Bookman Old Style"/>
          <w:iCs/>
          <w:sz w:val="22"/>
          <w:szCs w:val="22"/>
        </w:rPr>
        <w:t>“</w:t>
      </w:r>
      <w:r w:rsidRPr="00E12138">
        <w:rPr>
          <w:rFonts w:ascii="Bookman Old Style" w:hAnsi="Bookman Old Style"/>
          <w:sz w:val="22"/>
          <w:szCs w:val="22"/>
        </w:rPr>
        <w:t>Al fine di dare attuazione alla delibera della Corte dei conti-Sezione delle autonomie n.</w:t>
      </w:r>
      <w:r w:rsidR="00901A9A">
        <w:rPr>
          <w:rFonts w:ascii="Bookman Old Style" w:hAnsi="Bookman Old Style"/>
          <w:sz w:val="22"/>
          <w:szCs w:val="22"/>
        </w:rPr>
        <w:t xml:space="preserve"> </w:t>
      </w:r>
      <w:r w:rsidRPr="00E12138">
        <w:rPr>
          <w:rFonts w:ascii="Bookman Old Style" w:hAnsi="Bookman Old Style"/>
          <w:sz w:val="22"/>
          <w:szCs w:val="22"/>
        </w:rPr>
        <w:t>8</w:t>
      </w:r>
      <w:r w:rsidR="00901A9A">
        <w:rPr>
          <w:rFonts w:ascii="Bookman Old Style" w:hAnsi="Bookman Old Style"/>
          <w:sz w:val="22"/>
          <w:szCs w:val="22"/>
        </w:rPr>
        <w:t xml:space="preserve"> </w:t>
      </w:r>
      <w:r w:rsidRPr="00E12138">
        <w:rPr>
          <w:rFonts w:ascii="Bookman Old Style" w:hAnsi="Bookman Old Style"/>
          <w:sz w:val="22"/>
          <w:szCs w:val="22"/>
        </w:rPr>
        <w:t>dell'8</w:t>
      </w:r>
      <w:r w:rsidR="00901A9A">
        <w:rPr>
          <w:rFonts w:ascii="Bookman Old Style" w:hAnsi="Bookman Old Style"/>
          <w:sz w:val="22"/>
          <w:szCs w:val="22"/>
        </w:rPr>
        <w:t xml:space="preserve"> </w:t>
      </w:r>
      <w:r w:rsidRPr="00E12138">
        <w:rPr>
          <w:rFonts w:ascii="Bookman Old Style" w:hAnsi="Bookman Old Style"/>
          <w:sz w:val="22"/>
          <w:szCs w:val="22"/>
        </w:rPr>
        <w:t>luglio</w:t>
      </w:r>
      <w:r w:rsidR="00901A9A">
        <w:rPr>
          <w:rFonts w:ascii="Bookman Old Style" w:hAnsi="Bookman Old Style"/>
          <w:sz w:val="22"/>
          <w:szCs w:val="22"/>
        </w:rPr>
        <w:t xml:space="preserve"> </w:t>
      </w:r>
      <w:r w:rsidRPr="00E12138">
        <w:rPr>
          <w:rFonts w:ascii="Bookman Old Style" w:hAnsi="Bookman Old Style"/>
          <w:sz w:val="22"/>
          <w:szCs w:val="22"/>
        </w:rPr>
        <w:t>2022,</w:t>
      </w:r>
      <w:r w:rsidR="00901A9A">
        <w:rPr>
          <w:rFonts w:ascii="Bookman Old Style" w:hAnsi="Bookman Old Style"/>
          <w:sz w:val="22"/>
          <w:szCs w:val="22"/>
        </w:rPr>
        <w:t xml:space="preserve"> </w:t>
      </w:r>
      <w:r w:rsidRPr="00E12138">
        <w:rPr>
          <w:rFonts w:ascii="Bookman Old Style" w:hAnsi="Bookman Old Style"/>
          <w:sz w:val="22"/>
          <w:szCs w:val="22"/>
        </w:rPr>
        <w:t>gli</w:t>
      </w:r>
      <w:r w:rsidR="00901A9A">
        <w:rPr>
          <w:rFonts w:ascii="Bookman Old Style" w:hAnsi="Bookman Old Style"/>
          <w:sz w:val="22"/>
          <w:szCs w:val="22"/>
        </w:rPr>
        <w:t xml:space="preserve"> </w:t>
      </w:r>
      <w:r w:rsidRPr="00E12138">
        <w:rPr>
          <w:rFonts w:ascii="Bookman Old Style" w:hAnsi="Bookman Old Style"/>
          <w:sz w:val="22"/>
          <w:szCs w:val="22"/>
        </w:rPr>
        <w:t>enti locali già in stato di dissesto finanziario ai</w:t>
      </w:r>
      <w:r w:rsidR="00901A9A">
        <w:rPr>
          <w:rFonts w:ascii="Bookman Old Style" w:hAnsi="Bookman Old Style"/>
          <w:sz w:val="22"/>
          <w:szCs w:val="22"/>
        </w:rPr>
        <w:t xml:space="preserve"> </w:t>
      </w:r>
      <w:r w:rsidRPr="00E12138">
        <w:rPr>
          <w:rFonts w:ascii="Bookman Old Style" w:hAnsi="Bookman Old Style"/>
          <w:sz w:val="22"/>
          <w:szCs w:val="22"/>
        </w:rPr>
        <w:t>sensi</w:t>
      </w:r>
      <w:r w:rsidR="00901A9A">
        <w:rPr>
          <w:rFonts w:ascii="Bookman Old Style" w:hAnsi="Bookman Old Style"/>
          <w:sz w:val="22"/>
          <w:szCs w:val="22"/>
        </w:rPr>
        <w:t xml:space="preserve"> </w:t>
      </w:r>
      <w:r w:rsidRPr="00E12138">
        <w:rPr>
          <w:rFonts w:ascii="Bookman Old Style" w:hAnsi="Bookman Old Style"/>
          <w:sz w:val="22"/>
          <w:szCs w:val="22"/>
        </w:rPr>
        <w:t>dell'articolo 244 del testo unico di cui al decreto legislativo 18 agosto 2000, n. 267, e che a seguito dell’approvazione del piano di estinzione di cui all’art. 256 del medesimo testo unico,</w:t>
      </w:r>
      <w:r w:rsidR="00901A9A">
        <w:rPr>
          <w:rFonts w:ascii="Bookman Old Style" w:hAnsi="Bookman Old Style"/>
          <w:sz w:val="22"/>
          <w:szCs w:val="22"/>
        </w:rPr>
        <w:t xml:space="preserve"> </w:t>
      </w:r>
      <w:r w:rsidRPr="00E12138">
        <w:rPr>
          <w:rFonts w:ascii="Bookman Old Style" w:hAnsi="Bookman Old Style"/>
          <w:sz w:val="22"/>
          <w:szCs w:val="22"/>
        </w:rPr>
        <w:t>alla</w:t>
      </w:r>
      <w:r w:rsidR="00901A9A">
        <w:rPr>
          <w:rFonts w:ascii="Bookman Old Style" w:hAnsi="Bookman Old Style"/>
          <w:sz w:val="22"/>
          <w:szCs w:val="22"/>
        </w:rPr>
        <w:t xml:space="preserve"> </w:t>
      </w:r>
      <w:r w:rsidRPr="00E12138">
        <w:rPr>
          <w:rFonts w:ascii="Bookman Old Style" w:hAnsi="Bookman Old Style"/>
          <w:sz w:val="22"/>
          <w:szCs w:val="22"/>
        </w:rPr>
        <w:t>data</w:t>
      </w:r>
      <w:r w:rsidR="00901A9A">
        <w:rPr>
          <w:rFonts w:ascii="Bookman Old Style" w:hAnsi="Bookman Old Style"/>
          <w:sz w:val="22"/>
          <w:szCs w:val="22"/>
        </w:rPr>
        <w:t xml:space="preserve"> </w:t>
      </w:r>
      <w:r w:rsidRPr="00E12138">
        <w:rPr>
          <w:rFonts w:ascii="Bookman Old Style" w:hAnsi="Bookman Old Style"/>
          <w:sz w:val="22"/>
          <w:szCs w:val="22"/>
        </w:rPr>
        <w:t>del</w:t>
      </w:r>
      <w:r w:rsidR="00901A9A">
        <w:rPr>
          <w:rFonts w:ascii="Bookman Old Style" w:hAnsi="Bookman Old Style"/>
          <w:sz w:val="22"/>
          <w:szCs w:val="22"/>
        </w:rPr>
        <w:t xml:space="preserve"> </w:t>
      </w:r>
      <w:r w:rsidRPr="00E12138">
        <w:rPr>
          <w:rFonts w:ascii="Bookman Old Style" w:hAnsi="Bookman Old Style"/>
          <w:sz w:val="22"/>
          <w:szCs w:val="22"/>
        </w:rPr>
        <w:t>30</w:t>
      </w:r>
      <w:r w:rsidR="00901A9A">
        <w:rPr>
          <w:rFonts w:ascii="Bookman Old Style" w:hAnsi="Bookman Old Style"/>
          <w:sz w:val="22"/>
          <w:szCs w:val="22"/>
        </w:rPr>
        <w:t xml:space="preserve"> </w:t>
      </w:r>
      <w:r w:rsidRPr="00E12138">
        <w:rPr>
          <w:rFonts w:ascii="Bookman Old Style" w:hAnsi="Bookman Old Style"/>
          <w:sz w:val="22"/>
          <w:szCs w:val="22"/>
        </w:rPr>
        <w:t>giugno</w:t>
      </w:r>
      <w:r w:rsidR="00901A9A">
        <w:rPr>
          <w:rFonts w:ascii="Bookman Old Style" w:hAnsi="Bookman Old Style"/>
          <w:sz w:val="22"/>
          <w:szCs w:val="22"/>
        </w:rPr>
        <w:t xml:space="preserve"> </w:t>
      </w:r>
      <w:r w:rsidRPr="00E12138">
        <w:rPr>
          <w:rFonts w:ascii="Bookman Old Style" w:hAnsi="Bookman Old Style"/>
          <w:sz w:val="22"/>
          <w:szCs w:val="22"/>
        </w:rPr>
        <w:t>2022 hanno eliminato il fondo anticipazioni di liquidità, accantonato nel risultato di amministrazione, pur reiscrivendo in bilancio i residui attivi e passivi, rispettivamente, non realizzati o estinti dall’organo straordinario di liquidazione, in sede di approvazione del rendiconto 2022 provvedono ad accantonare un apposito fondo, per un importo pari all'ammontare complessivo delle anticipazioni di cui al decreto-legge 8 aprile 2013, n. 35, convertito, con modificazioni,</w:t>
      </w:r>
      <w:r w:rsidR="00901A9A">
        <w:rPr>
          <w:rFonts w:ascii="Bookman Old Style" w:hAnsi="Bookman Old Style"/>
          <w:sz w:val="22"/>
          <w:szCs w:val="22"/>
        </w:rPr>
        <w:t xml:space="preserve"> </w:t>
      </w:r>
      <w:r w:rsidRPr="00E12138">
        <w:rPr>
          <w:rFonts w:ascii="Bookman Old Style" w:hAnsi="Bookman Old Style"/>
          <w:sz w:val="22"/>
          <w:szCs w:val="22"/>
        </w:rPr>
        <w:t>dalla</w:t>
      </w:r>
      <w:r w:rsidR="00901A9A">
        <w:rPr>
          <w:rFonts w:ascii="Bookman Old Style" w:hAnsi="Bookman Old Style"/>
          <w:sz w:val="22"/>
          <w:szCs w:val="22"/>
        </w:rPr>
        <w:t xml:space="preserve"> </w:t>
      </w:r>
      <w:r w:rsidRPr="00E12138">
        <w:rPr>
          <w:rFonts w:ascii="Bookman Old Style" w:hAnsi="Bookman Old Style"/>
          <w:sz w:val="22"/>
          <w:szCs w:val="22"/>
        </w:rPr>
        <w:t>legge</w:t>
      </w:r>
      <w:r w:rsidR="00901A9A">
        <w:rPr>
          <w:rFonts w:ascii="Bookman Old Style" w:hAnsi="Bookman Old Style"/>
          <w:sz w:val="22"/>
          <w:szCs w:val="22"/>
        </w:rPr>
        <w:t xml:space="preserve"> </w:t>
      </w:r>
      <w:r w:rsidRPr="00E12138">
        <w:rPr>
          <w:rFonts w:ascii="Bookman Old Style" w:hAnsi="Bookman Old Style"/>
          <w:sz w:val="22"/>
          <w:szCs w:val="22"/>
        </w:rPr>
        <w:t>6 giugno</w:t>
      </w:r>
      <w:r w:rsidR="00901A9A">
        <w:rPr>
          <w:rFonts w:ascii="Bookman Old Style" w:hAnsi="Bookman Old Style"/>
          <w:sz w:val="22"/>
          <w:szCs w:val="22"/>
        </w:rPr>
        <w:t xml:space="preserve"> </w:t>
      </w:r>
      <w:r w:rsidRPr="00E12138">
        <w:rPr>
          <w:rFonts w:ascii="Bookman Old Style" w:hAnsi="Bookman Old Style"/>
          <w:sz w:val="22"/>
          <w:szCs w:val="22"/>
        </w:rPr>
        <w:t>2013,</w:t>
      </w:r>
      <w:r w:rsidR="00901A9A">
        <w:rPr>
          <w:rFonts w:ascii="Bookman Old Style" w:hAnsi="Bookman Old Style"/>
          <w:sz w:val="22"/>
          <w:szCs w:val="22"/>
        </w:rPr>
        <w:t xml:space="preserve"> </w:t>
      </w:r>
      <w:r w:rsidRPr="00E12138">
        <w:rPr>
          <w:rFonts w:ascii="Bookman Old Style" w:hAnsi="Bookman Old Style"/>
          <w:sz w:val="22"/>
          <w:szCs w:val="22"/>
        </w:rPr>
        <w:t>n.</w:t>
      </w:r>
      <w:r w:rsidR="00901A9A">
        <w:rPr>
          <w:rFonts w:ascii="Bookman Old Style" w:hAnsi="Bookman Old Style"/>
          <w:sz w:val="22"/>
          <w:szCs w:val="22"/>
        </w:rPr>
        <w:t xml:space="preserve"> </w:t>
      </w:r>
      <w:r w:rsidRPr="00E12138">
        <w:rPr>
          <w:rFonts w:ascii="Bookman Old Style" w:hAnsi="Bookman Old Style"/>
          <w:sz w:val="22"/>
          <w:szCs w:val="22"/>
        </w:rPr>
        <w:t>64, e successivi rifinanziamenti, e delle anticipazioni di cui al decreto-legge 19 maggio 2020, n. 34, convertito, con modificazioni, dalla legge 17 luglio 2020, n. 77, e successivi rifinanziamenti, incassate negli esercizi precedenti e non ancora rimborsate alla data del 31 dicembre 2022. La procedura di cui al periodo precedente si applica a regime agli enti dissestati, in occasione del primo rendiconto successivo all’approvazione del piano di estinzione di cui al citato articolo 256 del decreto legislativo n. 267 del 2000.”</w:t>
      </w:r>
    </w:p>
    <w:p w14:paraId="5E204F76" w14:textId="77777777" w:rsidR="00ED2172" w:rsidRPr="00E12138" w:rsidRDefault="00ED2172" w:rsidP="00ED2172">
      <w:pPr>
        <w:pStyle w:val="Testonotaapidipagina"/>
        <w:spacing w:after="80" w:line="259" w:lineRule="auto"/>
        <w:jc w:val="center"/>
        <w:rPr>
          <w:rFonts w:ascii="Bookman Old Style" w:hAnsi="Bookman Old Style"/>
          <w:b/>
          <w:bCs/>
          <w:sz w:val="22"/>
          <w:szCs w:val="22"/>
        </w:rPr>
      </w:pPr>
      <w:r w:rsidRPr="00E12138">
        <w:rPr>
          <w:rFonts w:ascii="Bookman Old Style" w:hAnsi="Bookman Old Style"/>
          <w:b/>
          <w:bCs/>
          <w:sz w:val="22"/>
          <w:szCs w:val="22"/>
        </w:rPr>
        <w:t>Motivazione</w:t>
      </w:r>
    </w:p>
    <w:p w14:paraId="18954812" w14:textId="77777777" w:rsidR="00ED2172" w:rsidRPr="00702533" w:rsidRDefault="00ED2172" w:rsidP="00ED2172">
      <w:pPr>
        <w:spacing w:after="80"/>
        <w:jc w:val="both"/>
        <w:rPr>
          <w:rFonts w:ascii="Bookman Old Style" w:hAnsi="Bookman Old Style"/>
          <w:i/>
        </w:rPr>
      </w:pPr>
      <w:r w:rsidRPr="00702533">
        <w:rPr>
          <w:rFonts w:ascii="Bookman Old Style" w:hAnsi="Bookman Old Style"/>
          <w:i/>
        </w:rPr>
        <w:t>La norma proposta si rende necessaria per evitare alcune rilevanti distorsioni nella gestione delle anticipazioni di liquidità residue degli enti locali che hanno attraversato un dissesto finanziario e devono correttamente considerare le passività derivanti dagli obblighi di restituzione delle anticipazioni ricevute. Il nuovo articolo 16 del D.L. n. 115/2022 (c.d. Aiuti-bis) ha stabilito che anche gli enti dissestati devono iscrivere in bilancio il FAL. La norma, nella sua attuale formulazione, rischia di generare un disavanzo ancorché siano stati stralciati dal bilancio i residui attivi e passivi delle gestioni antecedenti il 31 dicembre dell’anno precedente a quello dell’ipotesi di bilancio stabilmente riequilibrato. La norma, infatti, letteralmente interpretata, lungi dal dare attuazione alla delibera della Corte dei conti-Sezione delle autonomie n. 8 dell'8 luglio 2022, finisce per costringere gli enti dissestati, in sede di approvazione del rendiconto, ad accantonare nel risultato di amministrazione un apposito fondo, per un importo pari all'ammontare complessivo delle anticipazioni di liquidità concesse, generando immediatamente un nuovo disavanzo da fatti pregressi.</w:t>
      </w:r>
    </w:p>
    <w:p w14:paraId="31FAAB17" w14:textId="77777777" w:rsidR="00ED2172" w:rsidRPr="00702533" w:rsidRDefault="00ED2172" w:rsidP="00ED2172">
      <w:pPr>
        <w:spacing w:after="80"/>
        <w:jc w:val="both"/>
        <w:rPr>
          <w:rFonts w:ascii="Bookman Old Style" w:hAnsi="Bookman Old Style"/>
          <w:i/>
        </w:rPr>
      </w:pPr>
      <w:r w:rsidRPr="00702533">
        <w:rPr>
          <w:rFonts w:ascii="Bookman Old Style" w:hAnsi="Bookman Old Style"/>
          <w:i/>
        </w:rPr>
        <w:t>Poiché lo scopo della procedura di dissesto è di ridare serenità finanziaria all’ente locale, l’impianto normativo attuale presuppone che l’ente locale adotti un’ipotesi di bilancio stabilmente riequilibrato che è incompatibile, a fine esercizio, con un risultato di amministrazione in disavanzo che lo riporta in squilibrio, prima ancora che si chiuda la procedura di dissesto e con obbligo di ripianare tale maggior disavanzo in quote costanti entro il termine massimo di dieci anni.</w:t>
      </w:r>
    </w:p>
    <w:p w14:paraId="78824EF2" w14:textId="77777777" w:rsidR="00ED2172" w:rsidRPr="00702533" w:rsidRDefault="00ED2172" w:rsidP="00ED2172">
      <w:pPr>
        <w:spacing w:after="80"/>
        <w:jc w:val="both"/>
        <w:rPr>
          <w:rFonts w:ascii="Bookman Old Style" w:hAnsi="Bookman Old Style"/>
          <w:i/>
        </w:rPr>
      </w:pPr>
      <w:r w:rsidRPr="00702533">
        <w:rPr>
          <w:rFonts w:ascii="Bookman Old Style" w:hAnsi="Bookman Old Style"/>
          <w:i/>
        </w:rPr>
        <w:t>La Corte costituzionale, a proposito della procedura di dissesto, con la recente sentenza n. 219/2022, ha esortato il legislatore a “</w:t>
      </w:r>
      <w:r w:rsidRPr="00E55E2B">
        <w:rPr>
          <w:rFonts w:ascii="Bookman Old Style" w:hAnsi="Bookman Old Style"/>
          <w:iCs/>
        </w:rPr>
        <w:t>… prestare adeguata attenzione alle diverse esigenze che si contrappongono</w:t>
      </w:r>
      <w:r w:rsidRPr="00702533">
        <w:rPr>
          <w:rFonts w:ascii="Bookman Old Style" w:hAnsi="Bookman Old Style"/>
          <w:i/>
        </w:rPr>
        <w:t>”, al fine di evitare di ridurre “</w:t>
      </w:r>
      <w:r w:rsidRPr="00E55E2B">
        <w:rPr>
          <w:rFonts w:ascii="Bookman Old Style" w:hAnsi="Bookman Old Style"/>
          <w:iCs/>
        </w:rPr>
        <w:t>… le effettive risorse da destinare alle finalità istituzionali» (sentenza n. 78 del 2020)</w:t>
      </w:r>
      <w:r w:rsidRPr="00702533">
        <w:rPr>
          <w:rFonts w:ascii="Bookman Old Style" w:hAnsi="Bookman Old Style"/>
          <w:i/>
        </w:rPr>
        <w:t>”. La stessa Sezione delle Autonomie, nell’anzidetta delibera n. 8/2022, ha ipotizzato che “</w:t>
      </w:r>
      <w:r w:rsidRPr="0057403E">
        <w:rPr>
          <w:rFonts w:ascii="Bookman Old Style" w:hAnsi="Bookman Old Style"/>
          <w:bCs/>
          <w:iCs/>
        </w:rPr>
        <w:t>Al termine della procedura di risanamento,</w:t>
      </w:r>
      <w:r w:rsidRPr="0057403E">
        <w:rPr>
          <w:rFonts w:ascii="Bookman Old Style" w:hAnsi="Bookman Old Style"/>
          <w:iCs/>
        </w:rPr>
        <w:t xml:space="preserve"> … l’anticipazione di liquidità non restituita andrà riportata nella contabilità dell’ente al titolo 4 della spesa ed è destinata a confluire nel risultato di amministrazione, sotto forma di fondo, come quota accantonata e andranno applicate le modalità di contabilizzazione previste al punto 3.20-bis del principio applicato della contabilità finanziaria All. 4/2 al d.lgs. n. 118/2011…</w:t>
      </w:r>
      <w:r w:rsidRPr="00702533">
        <w:rPr>
          <w:rFonts w:ascii="Bookman Old Style" w:hAnsi="Bookman Old Style"/>
          <w:i/>
        </w:rPr>
        <w:t xml:space="preserve">”. </w:t>
      </w:r>
    </w:p>
    <w:p w14:paraId="3A1B7F98" w14:textId="3B011811" w:rsidR="00ED2172" w:rsidRPr="00702533" w:rsidRDefault="00ED2172" w:rsidP="00ED2172">
      <w:pPr>
        <w:spacing w:after="80"/>
        <w:jc w:val="both"/>
        <w:rPr>
          <w:rFonts w:ascii="Bookman Old Style" w:hAnsi="Bookman Old Style"/>
          <w:i/>
        </w:rPr>
      </w:pPr>
      <w:r w:rsidRPr="00702533">
        <w:rPr>
          <w:rFonts w:ascii="Bookman Old Style" w:hAnsi="Bookman Old Style"/>
          <w:i/>
        </w:rPr>
        <w:t>Tale evenienza può verificarsi al termine della procedura di risanamento, ma mai al suo inizio o durante la procedura in cui l’OSL dovrà anche estinguere tutti i debiti pregressi, compresa l’anticipazione di liquidità, ovvero accantonare, a mente dell’art. 258, co. 4, del d.lgs. 267/2000, l’importo del 50 per cento dei debiti per i quali non è stata accettata la transazione, ovvero il 100 per cento per i debiti assistiti da privilegio. Durante la procedura di dissesto la gestione degli atti e fatti di gestione verificatisi entro il 31 dicembre dell’anno precedente a quello dell’ipotesi di bilancio stabilmente riequilibrato compete all’OSL, con le sole eccezioni contemplate dal comma 10 dell’art. 255 del d.lgs. n. 267/2000 ed il risultato di amministrazione del primo esercizio in riequilibrio – e dei successivi fino a quando non si chiuderà la procedura di dissesto –</w:t>
      </w:r>
      <w:r w:rsidR="0057403E">
        <w:rPr>
          <w:rFonts w:ascii="Bookman Old Style" w:hAnsi="Bookman Old Style"/>
          <w:i/>
        </w:rPr>
        <w:t xml:space="preserve"> </w:t>
      </w:r>
      <w:r w:rsidRPr="00702533">
        <w:rPr>
          <w:rFonts w:ascii="Bookman Old Style" w:hAnsi="Bookman Old Style"/>
          <w:i/>
        </w:rPr>
        <w:t>non è abilitato ad assorbire il peso delle gestioni pregresse in termini di residui attivi e passivi, di fondi o di accantonamenti.</w:t>
      </w:r>
    </w:p>
    <w:p w14:paraId="4BFAB06D" w14:textId="77777777" w:rsidR="00ED2172" w:rsidRPr="00702533" w:rsidRDefault="00ED2172" w:rsidP="00ED2172">
      <w:pPr>
        <w:spacing w:after="80"/>
        <w:jc w:val="both"/>
        <w:rPr>
          <w:rFonts w:ascii="Bookman Old Style" w:hAnsi="Bookman Old Style"/>
          <w:i/>
        </w:rPr>
      </w:pPr>
      <w:r w:rsidRPr="00702533">
        <w:rPr>
          <w:rFonts w:ascii="Bookman Old Style" w:hAnsi="Bookman Old Style"/>
          <w:i/>
        </w:rPr>
        <w:t>Nel caso specifico, “</w:t>
      </w:r>
      <w:r w:rsidRPr="0057403E">
        <w:rPr>
          <w:rFonts w:ascii="Bookman Old Style" w:hAnsi="Bookman Old Style"/>
          <w:iCs/>
        </w:rPr>
        <w:t>…le anticipazioni di liquidità svolgono la funzione di trasformare lo stock di debiti commerciali dell’ente contabilizzati nei residui passivi, ma anche nei debiti fuori bilancio, in un solo debito (o più) verso la CDP. Si tratta di una permutazione patrimoniale che potrebbe per certi versi essere assimilabile ad una cartolarizzazione di debiti, accompagnata da particolari garanzie.</w:t>
      </w:r>
      <w:r w:rsidRPr="00702533">
        <w:rPr>
          <w:rFonts w:ascii="Bookman Old Style" w:hAnsi="Bookman Old Style"/>
          <w:i/>
        </w:rPr>
        <w:t xml:space="preserve">” (cfr. delibera n. 8/2022). Ne consegue che il debito da FAL, per il solo fatto che non è scaduto, con l’armonizzazione contabile non può più trovare collocazione nei residui passivi e va imputato in una voce dell’avanzo di amministrazione, ma solo se e in quanto il risultato di amministrazione risente delle gestioni pregresse. </w:t>
      </w:r>
    </w:p>
    <w:p w14:paraId="6B4F2701" w14:textId="77777777" w:rsidR="00ED2172" w:rsidRPr="00702533" w:rsidRDefault="00ED2172" w:rsidP="00ED2172">
      <w:pPr>
        <w:spacing w:after="80"/>
        <w:jc w:val="both"/>
        <w:rPr>
          <w:rFonts w:ascii="Bookman Old Style" w:hAnsi="Bookman Old Style"/>
          <w:i/>
        </w:rPr>
      </w:pPr>
      <w:r w:rsidRPr="00702533">
        <w:rPr>
          <w:rFonts w:ascii="Bookman Old Style" w:hAnsi="Bookman Old Style"/>
          <w:i/>
        </w:rPr>
        <w:t>Pertanto, la novella legislativa introdotta dai commi 6-ter e 6-quater dell’articolo 16 del D.L. 9 agosto 2022, n. 115, se non correttamente interpretata, rischia di produrre l’effetto contrario di quello ipotizzato dalla Corte dei conti secondo la quale “</w:t>
      </w:r>
      <w:r w:rsidRPr="0057403E">
        <w:rPr>
          <w:rFonts w:ascii="Bookman Old Style" w:hAnsi="Bookman Old Style"/>
          <w:iCs/>
        </w:rPr>
        <w:t>…si otterrebbe il risultato paradossale di radicare una condizione di fragilità dell’equilibrio finanziario, nel contesto di una procedura di risanamento</w:t>
      </w:r>
      <w:r w:rsidRPr="00702533">
        <w:rPr>
          <w:rFonts w:ascii="Bookman Old Style" w:hAnsi="Bookman Old Style"/>
          <w:i/>
        </w:rPr>
        <w:t>” e “</w:t>
      </w:r>
      <w:r w:rsidRPr="0057403E">
        <w:rPr>
          <w:rFonts w:ascii="Bookman Old Style" w:hAnsi="Bookman Old Style"/>
          <w:iCs/>
        </w:rPr>
        <w:t>… far rientrare nella gestione del bilancio il peso delle passività eliminate con l’utilizzo delle anticipazioni.</w:t>
      </w:r>
      <w:r w:rsidRPr="00702533">
        <w:rPr>
          <w:rFonts w:ascii="Bookman Old Style" w:hAnsi="Bookman Old Style"/>
          <w:i/>
        </w:rPr>
        <w:t>” È ipotizzabile che la norma in questione intendesse disciplinare la sola ipotesi in cui un ente locale, già in dissesto, nel rientrare in bonis abbia riportato i residui attivi e passivi, rispettivamente, non realizzati o estinti dall’OSL e non abbia, invece, riportato il FAL.</w:t>
      </w:r>
    </w:p>
    <w:p w14:paraId="5698304C" w14:textId="77777777" w:rsidR="00ED2172" w:rsidRPr="00702533" w:rsidRDefault="00ED2172" w:rsidP="00ED2172">
      <w:pPr>
        <w:spacing w:after="80"/>
        <w:jc w:val="both"/>
        <w:rPr>
          <w:rFonts w:ascii="Bookman Old Style" w:hAnsi="Bookman Old Style"/>
          <w:i/>
        </w:rPr>
      </w:pPr>
      <w:r w:rsidRPr="00702533">
        <w:rPr>
          <w:rFonts w:ascii="Bookman Old Style" w:hAnsi="Bookman Old Style"/>
          <w:i/>
        </w:rPr>
        <w:t>La norma proposta consente di superare le criticità segnalate in un quadro di coerenza con i principi contabili.</w:t>
      </w:r>
    </w:p>
    <w:p w14:paraId="28C80402" w14:textId="07EE4142" w:rsidR="003671EA" w:rsidRDefault="003671EA">
      <w:pPr>
        <w:rPr>
          <w:rFonts w:ascii="Bookman Old Style" w:eastAsiaTheme="majorEastAsia" w:hAnsi="Bookman Old Style" w:cstheme="majorBidi"/>
          <w:b/>
          <w:bCs/>
          <w:color w:val="2F5496" w:themeColor="accent1" w:themeShade="BF"/>
        </w:rPr>
      </w:pPr>
    </w:p>
    <w:p w14:paraId="71A4BD20" w14:textId="77777777" w:rsidR="007C5786" w:rsidRPr="00E67E40" w:rsidRDefault="007C5786"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50" w:name="_Toc121214284"/>
      <w:r w:rsidRPr="00E67E40">
        <w:rPr>
          <w:rFonts w:ascii="Bookman Old Style" w:hAnsi="Bookman Old Style"/>
          <w:b/>
          <w:bCs/>
          <w:color w:val="2F5496" w:themeColor="accent1" w:themeShade="BF"/>
          <w:sz w:val="22"/>
          <w:szCs w:val="22"/>
        </w:rPr>
        <w:t>Responsabilità in materia di notificazione digitale degli atti delle pubbliche amministrazioni</w:t>
      </w:r>
      <w:bookmarkEnd w:id="50"/>
    </w:p>
    <w:p w14:paraId="57F8774C" w14:textId="77777777" w:rsidR="007C5786" w:rsidRDefault="007C5786" w:rsidP="007C5786">
      <w:pPr>
        <w:pStyle w:val="paragraph"/>
        <w:spacing w:before="0" w:beforeAutospacing="0" w:after="80" w:afterAutospacing="0" w:line="259" w:lineRule="auto"/>
        <w:ind w:right="255"/>
        <w:jc w:val="both"/>
        <w:textAlignment w:val="baseline"/>
        <w:rPr>
          <w:rStyle w:val="normaltextrun"/>
          <w:rFonts w:ascii="Bookman Old Style" w:hAnsi="Bookman Old Style" w:cs="Segoe UI"/>
          <w:i/>
          <w:iCs/>
          <w:sz w:val="22"/>
          <w:szCs w:val="22"/>
        </w:rPr>
      </w:pPr>
      <w:r>
        <w:rPr>
          <w:rStyle w:val="normaltextrun"/>
          <w:rFonts w:ascii="Bookman Old Style" w:hAnsi="Bookman Old Style" w:cs="Segoe UI"/>
          <w:i/>
          <w:iCs/>
          <w:sz w:val="22"/>
          <w:szCs w:val="22"/>
        </w:rPr>
        <w:t>Dopo l’articolo 150, inserire l’art. 150-</w:t>
      </w:r>
      <w:r w:rsidRPr="006F58D4">
        <w:rPr>
          <w:rStyle w:val="normaltextrun"/>
          <w:rFonts w:ascii="Bookman Old Style" w:hAnsi="Bookman Old Style" w:cs="Segoe UI"/>
          <w:i/>
          <w:iCs/>
          <w:sz w:val="22"/>
          <w:szCs w:val="22"/>
        </w:rPr>
        <w:t>bis</w:t>
      </w:r>
    </w:p>
    <w:p w14:paraId="7205966B" w14:textId="77777777" w:rsidR="007C5786" w:rsidRPr="00FF1300" w:rsidRDefault="007C5786" w:rsidP="007C5786">
      <w:pPr>
        <w:pStyle w:val="paragraph"/>
        <w:spacing w:before="0" w:beforeAutospacing="0" w:after="80" w:afterAutospacing="0" w:line="259" w:lineRule="auto"/>
        <w:ind w:right="255"/>
        <w:jc w:val="center"/>
        <w:textAlignment w:val="baseline"/>
        <w:rPr>
          <w:rStyle w:val="normaltextrun"/>
          <w:rFonts w:ascii="Bookman Old Style" w:hAnsi="Bookman Old Style"/>
          <w:i/>
          <w:iCs/>
          <w:sz w:val="22"/>
          <w:szCs w:val="22"/>
        </w:rPr>
      </w:pPr>
      <w:r w:rsidRPr="00FF1300">
        <w:rPr>
          <w:rStyle w:val="normaltextrun"/>
          <w:rFonts w:ascii="Bookman Old Style" w:hAnsi="Bookman Old Style" w:cs="Segoe UI"/>
          <w:i/>
          <w:iCs/>
          <w:sz w:val="22"/>
          <w:szCs w:val="22"/>
        </w:rPr>
        <w:t>Art</w:t>
      </w:r>
      <w:r>
        <w:rPr>
          <w:rStyle w:val="normaltextrun"/>
          <w:rFonts w:ascii="Bookman Old Style" w:hAnsi="Bookman Old Style" w:cs="Segoe UI"/>
          <w:i/>
          <w:iCs/>
          <w:sz w:val="22"/>
          <w:szCs w:val="22"/>
        </w:rPr>
        <w:t>. 150-bis</w:t>
      </w:r>
      <w:r>
        <w:rPr>
          <w:rStyle w:val="normaltextrun"/>
          <w:i/>
          <w:iCs/>
        </w:rPr>
        <w:t xml:space="preserve"> </w:t>
      </w:r>
      <w:r w:rsidRPr="00FF1300">
        <w:rPr>
          <w:rStyle w:val="normaltextrun"/>
          <w:rFonts w:ascii="Bookman Old Style" w:hAnsi="Bookman Old Style" w:cs="Segoe UI"/>
          <w:i/>
          <w:iCs/>
          <w:sz w:val="22"/>
          <w:szCs w:val="22"/>
        </w:rPr>
        <w:t>(Disposizioni in materia di notificazione digitale degli atti dell</w:t>
      </w:r>
      <w:r>
        <w:rPr>
          <w:rStyle w:val="normaltextrun"/>
          <w:rFonts w:ascii="Bookman Old Style" w:hAnsi="Bookman Old Style" w:cs="Segoe UI"/>
          <w:i/>
          <w:iCs/>
          <w:sz w:val="22"/>
          <w:szCs w:val="22"/>
        </w:rPr>
        <w:t>e</w:t>
      </w:r>
      <w:r w:rsidRPr="00FF1300">
        <w:rPr>
          <w:rStyle w:val="normaltextrun"/>
          <w:rFonts w:ascii="Bookman Old Style" w:hAnsi="Bookman Old Style" w:cs="Segoe UI"/>
          <w:i/>
          <w:iCs/>
          <w:sz w:val="22"/>
          <w:szCs w:val="22"/>
        </w:rPr>
        <w:t xml:space="preserve"> pubblic</w:t>
      </w:r>
      <w:r>
        <w:rPr>
          <w:rStyle w:val="normaltextrun"/>
          <w:rFonts w:ascii="Bookman Old Style" w:hAnsi="Bookman Old Style" w:cs="Segoe UI"/>
          <w:i/>
          <w:iCs/>
          <w:sz w:val="22"/>
          <w:szCs w:val="22"/>
        </w:rPr>
        <w:t xml:space="preserve">he </w:t>
      </w:r>
      <w:r w:rsidRPr="00FF1300">
        <w:rPr>
          <w:rStyle w:val="normaltextrun"/>
          <w:rFonts w:ascii="Bookman Old Style" w:hAnsi="Bookman Old Style" w:cs="Segoe UI"/>
          <w:i/>
          <w:iCs/>
          <w:sz w:val="22"/>
          <w:szCs w:val="22"/>
        </w:rPr>
        <w:t>amministrazion</w:t>
      </w:r>
      <w:r>
        <w:rPr>
          <w:rStyle w:val="normaltextrun"/>
          <w:rFonts w:ascii="Bookman Old Style" w:hAnsi="Bookman Old Style" w:cs="Segoe UI"/>
          <w:i/>
          <w:iCs/>
          <w:sz w:val="22"/>
          <w:szCs w:val="22"/>
        </w:rPr>
        <w:t>i</w:t>
      </w:r>
      <w:r w:rsidRPr="00FF1300">
        <w:rPr>
          <w:rStyle w:val="normaltextrun"/>
          <w:rFonts w:ascii="Bookman Old Style" w:hAnsi="Bookman Old Style" w:cs="Segoe UI"/>
          <w:i/>
          <w:iCs/>
          <w:sz w:val="22"/>
          <w:szCs w:val="22"/>
        </w:rPr>
        <w:t>)</w:t>
      </w:r>
    </w:p>
    <w:p w14:paraId="5B6871B8" w14:textId="77777777" w:rsidR="007C5786" w:rsidRPr="00891A21" w:rsidRDefault="007C5786" w:rsidP="007C5786">
      <w:pPr>
        <w:pStyle w:val="paragraph"/>
        <w:spacing w:before="0" w:beforeAutospacing="0" w:after="80" w:afterAutospacing="0" w:line="259" w:lineRule="auto"/>
        <w:ind w:right="255"/>
        <w:jc w:val="both"/>
        <w:textAlignment w:val="baseline"/>
        <w:rPr>
          <w:rFonts w:ascii="Segoe UI" w:hAnsi="Segoe UI" w:cs="Segoe UI"/>
          <w:sz w:val="18"/>
          <w:szCs w:val="18"/>
        </w:rPr>
      </w:pPr>
      <w:r w:rsidRPr="00891A21">
        <w:rPr>
          <w:rStyle w:val="normaltextrun"/>
          <w:rFonts w:ascii="Bookman Old Style" w:hAnsi="Bookman Old Style" w:cs="Segoe UI"/>
          <w:sz w:val="22"/>
          <w:szCs w:val="22"/>
        </w:rPr>
        <w:t>1. All’art. 26, del decreto-legge 16 luglio 2020, n. 26 aggiungere, dopo il comma 12, il seguente:</w:t>
      </w:r>
      <w:r w:rsidRPr="00891A21">
        <w:rPr>
          <w:rStyle w:val="eop"/>
          <w:rFonts w:ascii="Bookman Old Style" w:hAnsi="Bookman Old Style" w:cs="Segoe UI"/>
          <w:sz w:val="22"/>
          <w:szCs w:val="22"/>
        </w:rPr>
        <w:t> </w:t>
      </w:r>
    </w:p>
    <w:p w14:paraId="50DF7A95" w14:textId="77777777" w:rsidR="007C5786" w:rsidRDefault="007C5786" w:rsidP="007C5786">
      <w:pPr>
        <w:pStyle w:val="paragraph"/>
        <w:spacing w:before="0" w:beforeAutospacing="0" w:after="80" w:afterAutospacing="0" w:line="259" w:lineRule="auto"/>
        <w:ind w:right="255"/>
        <w:jc w:val="both"/>
        <w:textAlignment w:val="baseline"/>
        <w:rPr>
          <w:rFonts w:ascii="Segoe UI" w:hAnsi="Segoe UI" w:cs="Segoe UI"/>
          <w:sz w:val="18"/>
          <w:szCs w:val="18"/>
        </w:rPr>
      </w:pPr>
      <w:r>
        <w:rPr>
          <w:rStyle w:val="normaltextrun"/>
          <w:rFonts w:ascii="Bookman Old Style" w:hAnsi="Bookman Old Style" w:cs="Segoe UI"/>
          <w:sz w:val="22"/>
          <w:szCs w:val="22"/>
        </w:rPr>
        <w:t>“12-</w:t>
      </w:r>
      <w:r w:rsidRPr="00891A21">
        <w:rPr>
          <w:rStyle w:val="normaltextrun"/>
          <w:rFonts w:ascii="Bookman Old Style" w:hAnsi="Bookman Old Style" w:cs="Segoe UI"/>
          <w:i/>
          <w:iCs/>
          <w:sz w:val="22"/>
          <w:szCs w:val="22"/>
        </w:rPr>
        <w:t>bis</w:t>
      </w:r>
      <w:r>
        <w:rPr>
          <w:rStyle w:val="normaltextrun"/>
          <w:rFonts w:ascii="Bookman Old Style" w:hAnsi="Bookman Old Style" w:cs="Segoe UI"/>
          <w:sz w:val="22"/>
          <w:szCs w:val="22"/>
        </w:rPr>
        <w:t>. Le amministrazioni mittenti sono responsabili per i contenuti degli atti notificati e per le informazioni fornite al gestore della piattaforma. Il gestore della piattaforma è responsabile del corretto funzionamento del servizio di notificazione tramite la piattaforma fatta salva l’eventuale rivalsa nei confronti dell'operatore postale ovvero del gestore del fornitore del servizio universale per le attività di rispettiva competenza”.</w:t>
      </w:r>
      <w:r>
        <w:rPr>
          <w:rStyle w:val="eop"/>
          <w:rFonts w:ascii="Bookman Old Style" w:hAnsi="Bookman Old Style" w:cs="Segoe UI"/>
          <w:sz w:val="22"/>
          <w:szCs w:val="22"/>
        </w:rPr>
        <w:t> </w:t>
      </w:r>
    </w:p>
    <w:p w14:paraId="286E7EB2" w14:textId="77777777" w:rsidR="007C5786" w:rsidRDefault="007C5786" w:rsidP="007C5786">
      <w:pPr>
        <w:pStyle w:val="paragraph"/>
        <w:spacing w:before="0" w:beforeAutospacing="0" w:after="80" w:afterAutospacing="0" w:line="259" w:lineRule="auto"/>
        <w:ind w:left="360"/>
        <w:jc w:val="center"/>
        <w:textAlignment w:val="baseline"/>
        <w:rPr>
          <w:rFonts w:ascii="Segoe UI" w:hAnsi="Segoe UI" w:cs="Segoe UI"/>
          <w:sz w:val="18"/>
          <w:szCs w:val="18"/>
        </w:rPr>
      </w:pPr>
      <w:r>
        <w:rPr>
          <w:rStyle w:val="normaltextrun"/>
          <w:rFonts w:ascii="Bookman Old Style" w:hAnsi="Bookman Old Style" w:cs="Segoe UI"/>
          <w:b/>
          <w:bCs/>
          <w:sz w:val="22"/>
          <w:szCs w:val="22"/>
        </w:rPr>
        <w:t>Motivazione</w:t>
      </w:r>
      <w:r>
        <w:rPr>
          <w:rStyle w:val="eop"/>
          <w:rFonts w:ascii="Bookman Old Style" w:hAnsi="Bookman Old Style" w:cs="Segoe UI"/>
          <w:sz w:val="22"/>
          <w:szCs w:val="22"/>
        </w:rPr>
        <w:t> </w:t>
      </w:r>
    </w:p>
    <w:p w14:paraId="31FF40F7" w14:textId="77777777" w:rsidR="007C5786" w:rsidRDefault="007C5786" w:rsidP="007C5786">
      <w:pPr>
        <w:pStyle w:val="paragraph"/>
        <w:spacing w:before="0" w:beforeAutospacing="0" w:after="80" w:afterAutospacing="0" w:line="259" w:lineRule="auto"/>
        <w:jc w:val="both"/>
        <w:textAlignment w:val="baseline"/>
        <w:rPr>
          <w:rFonts w:ascii="Segoe UI" w:hAnsi="Segoe UI" w:cs="Segoe UI"/>
          <w:sz w:val="18"/>
          <w:szCs w:val="18"/>
        </w:rPr>
      </w:pPr>
      <w:r>
        <w:rPr>
          <w:rStyle w:val="normaltextrun"/>
          <w:rFonts w:ascii="Bookman Old Style" w:hAnsi="Bookman Old Style" w:cs="Segoe UI"/>
          <w:i/>
          <w:iCs/>
          <w:sz w:val="22"/>
          <w:szCs w:val="22"/>
        </w:rPr>
        <w:t>La piattaforma per la notificazione digitale (PND) degli atti della pubblica amministrazione introduce nuove modalità di notifica, digitali e analogiche. Per le notifiche analogiche, in particolare, si introducono dei correttivi ai fini della semplificazione e di una celere chiusura del processo di notifica. Tra questi, vi è l’attribuzione all’</w:t>
      </w:r>
      <w:r>
        <w:rPr>
          <w:rStyle w:val="normaltextrun"/>
          <w:i/>
          <w:iCs/>
          <w:sz w:val="22"/>
          <w:szCs w:val="22"/>
        </w:rPr>
        <w:t xml:space="preserve"> </w:t>
      </w:r>
      <w:r>
        <w:rPr>
          <w:rStyle w:val="normaltextrun"/>
          <w:rFonts w:ascii="Bookman Old Style" w:hAnsi="Bookman Old Style" w:cs="Segoe UI"/>
          <w:i/>
          <w:iCs/>
          <w:sz w:val="22"/>
          <w:szCs w:val="22"/>
        </w:rPr>
        <w:t>operatore postale ovvero del gestore del fornitore del servizio universale, di precisi adempimenti, in parte simili a quelli attribuiti ai messi comunali o ufficiali giudiziari, per i quali si pone il problema dell’attribuzione delle responsabilità.</w:t>
      </w:r>
      <w:r>
        <w:rPr>
          <w:rStyle w:val="eop"/>
          <w:rFonts w:ascii="Bookman Old Style" w:hAnsi="Bookman Old Style" w:cs="Segoe UI"/>
          <w:sz w:val="22"/>
          <w:szCs w:val="22"/>
        </w:rPr>
        <w:t> </w:t>
      </w:r>
    </w:p>
    <w:p w14:paraId="286C1674" w14:textId="77777777" w:rsidR="007C5786" w:rsidRDefault="007C5786" w:rsidP="007C5786">
      <w:pPr>
        <w:pStyle w:val="paragraph"/>
        <w:spacing w:before="0" w:beforeAutospacing="0" w:after="80" w:afterAutospacing="0" w:line="259" w:lineRule="auto"/>
        <w:jc w:val="both"/>
        <w:textAlignment w:val="baseline"/>
        <w:rPr>
          <w:rFonts w:ascii="Segoe UI" w:hAnsi="Segoe UI" w:cs="Segoe UI"/>
          <w:sz w:val="18"/>
          <w:szCs w:val="18"/>
        </w:rPr>
      </w:pPr>
      <w:r>
        <w:rPr>
          <w:rStyle w:val="normaltextrun"/>
          <w:rFonts w:ascii="Bookman Old Style" w:hAnsi="Bookman Old Style" w:cs="Segoe UI"/>
          <w:i/>
          <w:iCs/>
          <w:sz w:val="22"/>
          <w:szCs w:val="22"/>
        </w:rPr>
        <w:t>L’art. 13 del decreto della Presidenza del consiglio dei ministri – Dipartimento per la trasformazione digitale n. 58/2022 già attribuisce al gestore della PND la responsabilità del corretto funzionamento del servizio di notificazione, ma si ritiene necessario, considerata l’alta litigiosità in tema di notifiche, che la norma primaria specifichi la responsabilità del gestore della PND per tutti gli errori commessi nel processo di notifica dell’avviso di ricezione, ivi inclusi quelli commessi dai fornitori della PND selezionati dallo stesso gestore e con i quali l’amministrazione mittente non intrattiene alcuna relazione.</w:t>
      </w:r>
      <w:r>
        <w:rPr>
          <w:rStyle w:val="eop"/>
          <w:rFonts w:ascii="Bookman Old Style" w:hAnsi="Bookman Old Style" w:cs="Segoe UI"/>
          <w:sz w:val="22"/>
          <w:szCs w:val="22"/>
        </w:rPr>
        <w:t> </w:t>
      </w:r>
    </w:p>
    <w:p w14:paraId="55A627FF" w14:textId="77777777" w:rsidR="007C5786" w:rsidRDefault="007C5786" w:rsidP="007C5786">
      <w:pPr>
        <w:shd w:val="clear" w:color="auto" w:fill="FFFFFF"/>
        <w:spacing w:after="80"/>
        <w:rPr>
          <w:rFonts w:ascii="Bookman Old Style" w:hAnsi="Bookman Old Style"/>
          <w:i/>
          <w:iCs/>
        </w:rPr>
      </w:pPr>
    </w:p>
    <w:p w14:paraId="62C2AD33" w14:textId="77777777" w:rsidR="009F7F96" w:rsidRPr="00E67E40" w:rsidRDefault="009F7F96"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51" w:name="_Toc121214285"/>
      <w:r w:rsidRPr="00E67E40">
        <w:rPr>
          <w:rFonts w:ascii="Bookman Old Style" w:hAnsi="Bookman Old Style"/>
          <w:b/>
          <w:bCs/>
          <w:color w:val="2F5496" w:themeColor="accent1" w:themeShade="BF"/>
          <w:sz w:val="22"/>
          <w:szCs w:val="22"/>
        </w:rPr>
        <w:t>Proroga al 2025 dell’incentivazione al 100% della partecipazione comunale al recupero di gettito dei tributi erariali (art. 51)</w:t>
      </w:r>
      <w:bookmarkEnd w:id="51"/>
    </w:p>
    <w:p w14:paraId="617B7077" w14:textId="725F7449" w:rsidR="009F7F96" w:rsidRDefault="009F7F96" w:rsidP="009F7F96">
      <w:pPr>
        <w:shd w:val="clear" w:color="auto" w:fill="FFFFFF"/>
        <w:spacing w:after="80"/>
        <w:jc w:val="both"/>
        <w:rPr>
          <w:rFonts w:ascii="Bookman Old Style" w:hAnsi="Bookman Old Style"/>
          <w:i/>
          <w:iCs/>
        </w:rPr>
      </w:pPr>
      <w:r>
        <w:rPr>
          <w:rFonts w:ascii="Bookman Old Style" w:hAnsi="Bookman Old Style"/>
          <w:i/>
          <w:iCs/>
        </w:rPr>
        <w:t>All’articolo 51 è aggiunto in fine il seguente comma;</w:t>
      </w:r>
    </w:p>
    <w:p w14:paraId="5796777F" w14:textId="77777777" w:rsidR="009F7F96" w:rsidRPr="00C44D79" w:rsidRDefault="009F7F96" w:rsidP="009F7F96">
      <w:pPr>
        <w:shd w:val="clear" w:color="auto" w:fill="FFFFFF"/>
        <w:spacing w:after="80"/>
        <w:jc w:val="both"/>
        <w:rPr>
          <w:rFonts w:ascii="Bookman Old Style" w:hAnsi="Bookman Old Style"/>
        </w:rPr>
      </w:pPr>
      <w:r w:rsidRPr="00143406">
        <w:rPr>
          <w:rFonts w:ascii="Bookman Old Style" w:hAnsi="Bookman Old Style"/>
        </w:rPr>
        <w:t>“2</w:t>
      </w:r>
      <w:r>
        <w:rPr>
          <w:rFonts w:ascii="Bookman Old Style" w:hAnsi="Bookman Old Style"/>
        </w:rPr>
        <w:t xml:space="preserve">. </w:t>
      </w:r>
      <w:r w:rsidRPr="00C44D79">
        <w:rPr>
          <w:rFonts w:ascii="Bookman Old Style" w:hAnsi="Bookman Old Style"/>
        </w:rPr>
        <w:t>All</w:t>
      </w:r>
      <w:r>
        <w:rPr>
          <w:rFonts w:ascii="Bookman Old Style" w:hAnsi="Bookman Old Style"/>
        </w:rPr>
        <w:t>’</w:t>
      </w:r>
      <w:r w:rsidRPr="00C44D79">
        <w:rPr>
          <w:rFonts w:ascii="Bookman Old Style" w:hAnsi="Bookman Old Style"/>
        </w:rPr>
        <w:t>articolo 1, comma 12-bis</w:t>
      </w:r>
      <w:r>
        <w:rPr>
          <w:rFonts w:ascii="Bookman Old Style" w:hAnsi="Bookman Old Style"/>
        </w:rPr>
        <w:t>,</w:t>
      </w:r>
      <w:r w:rsidRPr="00C44D79">
        <w:rPr>
          <w:rFonts w:ascii="Bookman Old Style" w:hAnsi="Bookman Old Style"/>
        </w:rPr>
        <w:t xml:space="preserve"> del decreto-legge 13 agosto 2011, n. 138, convertito, con</w:t>
      </w:r>
      <w:r>
        <w:rPr>
          <w:rFonts w:ascii="Bookman Old Style" w:hAnsi="Bookman Old Style"/>
        </w:rPr>
        <w:t xml:space="preserve"> </w:t>
      </w:r>
      <w:r w:rsidRPr="00C44D79">
        <w:rPr>
          <w:rFonts w:ascii="Bookman Old Style" w:hAnsi="Bookman Old Style"/>
        </w:rPr>
        <w:t xml:space="preserve">modificazioni, dalla legge 14 settembre 2011, n. 148, le parole </w:t>
      </w:r>
      <w:r>
        <w:rPr>
          <w:rFonts w:ascii="Bookman Old Style" w:hAnsi="Bookman Old Style"/>
        </w:rPr>
        <w:t>“</w:t>
      </w:r>
      <w:r w:rsidRPr="00C44D79">
        <w:rPr>
          <w:rFonts w:ascii="Bookman Old Style" w:hAnsi="Bookman Old Style"/>
        </w:rPr>
        <w:t>per gli anni dal 2012 a 2021</w:t>
      </w:r>
      <w:r>
        <w:rPr>
          <w:rFonts w:ascii="Bookman Old Style" w:hAnsi="Bookman Old Style"/>
        </w:rPr>
        <w:t>”</w:t>
      </w:r>
      <w:r w:rsidRPr="00C44D79">
        <w:rPr>
          <w:rFonts w:ascii="Bookman Old Style" w:hAnsi="Bookman Old Style"/>
        </w:rPr>
        <w:t xml:space="preserve"> sono</w:t>
      </w:r>
      <w:r>
        <w:rPr>
          <w:rFonts w:ascii="Bookman Old Style" w:hAnsi="Bookman Old Style"/>
        </w:rPr>
        <w:t xml:space="preserve"> </w:t>
      </w:r>
      <w:r w:rsidRPr="00C44D79">
        <w:rPr>
          <w:rFonts w:ascii="Bookman Old Style" w:hAnsi="Bookman Old Style"/>
        </w:rPr>
        <w:t xml:space="preserve">sostituite dalle seguenti: </w:t>
      </w:r>
      <w:r>
        <w:rPr>
          <w:rFonts w:ascii="Bookman Old Style" w:hAnsi="Bookman Old Style"/>
        </w:rPr>
        <w:t>“</w:t>
      </w:r>
      <w:r w:rsidRPr="00C44D79">
        <w:rPr>
          <w:rFonts w:ascii="Bookman Old Style" w:hAnsi="Bookman Old Style"/>
        </w:rPr>
        <w:t xml:space="preserve">per gli anni dal 2012 al </w:t>
      </w:r>
      <w:r>
        <w:rPr>
          <w:rFonts w:ascii="Bookman Old Style" w:hAnsi="Bookman Old Style"/>
        </w:rPr>
        <w:t>2025</w:t>
      </w:r>
      <w:r>
        <w:rPr>
          <w:rFonts w:ascii="Times New Roman" w:hAnsi="Times New Roman" w:cs="Times New Roman"/>
        </w:rPr>
        <w:t>”.”</w:t>
      </w:r>
      <w:r w:rsidRPr="00C44D79">
        <w:rPr>
          <w:rFonts w:ascii="Times New Roman" w:hAnsi="Times New Roman" w:cs="Times New Roman"/>
        </w:rPr>
        <w:t> </w:t>
      </w:r>
      <w:r w:rsidRPr="00C44D79">
        <w:rPr>
          <w:rFonts w:ascii="Bookman Old Style" w:hAnsi="Bookman Old Style" w:cs="Bookman Old Style"/>
        </w:rPr>
        <w:t> </w:t>
      </w:r>
    </w:p>
    <w:p w14:paraId="42731D0D" w14:textId="77777777" w:rsidR="009F7F96" w:rsidRPr="003E3DC2" w:rsidRDefault="009F7F96" w:rsidP="009F7F96">
      <w:pPr>
        <w:shd w:val="clear" w:color="auto" w:fill="FFFFFF"/>
        <w:spacing w:after="80"/>
        <w:jc w:val="center"/>
        <w:rPr>
          <w:rFonts w:ascii="Bookman Old Style" w:hAnsi="Bookman Old Style"/>
          <w:b/>
          <w:bCs/>
        </w:rPr>
      </w:pPr>
      <w:r w:rsidRPr="003E3DC2">
        <w:rPr>
          <w:rFonts w:ascii="Bookman Old Style" w:hAnsi="Bookman Old Style"/>
          <w:b/>
          <w:bCs/>
        </w:rPr>
        <w:t>Motivazione</w:t>
      </w:r>
    </w:p>
    <w:p w14:paraId="552E545D" w14:textId="77777777" w:rsidR="009F7F96" w:rsidRPr="00DD2254" w:rsidRDefault="009F7F96" w:rsidP="009F7F96">
      <w:pPr>
        <w:shd w:val="clear" w:color="auto" w:fill="FFFFFF"/>
        <w:spacing w:after="80"/>
        <w:jc w:val="both"/>
        <w:rPr>
          <w:rFonts w:ascii="Bookman Old Style" w:hAnsi="Bookman Old Style"/>
          <w:i/>
          <w:iCs/>
        </w:rPr>
      </w:pPr>
      <w:r w:rsidRPr="00DD2254">
        <w:rPr>
          <w:rFonts w:ascii="Bookman Old Style" w:hAnsi="Bookman Old Style"/>
          <w:i/>
          <w:iCs/>
        </w:rPr>
        <w:t>Per potenziare l’azione di contrasto all’evasione fiscale, il D.L. n. 203/2005 ha riconosciuto ai Comuni che partecipano all’accertamento dei tributi statali una quota delle maggiori somme accertate e riscosse pari al 30%. Con il D.L. n. 138/2011, art. 1, co.12 bis, la quota da attribuire ai Comuni è stata elevata al 100% del maggior gettito riscosso e, da allora, è stata mantenuta allo stesso livello con interventi successivi (D.L. n. 192/2014, art. 10, comma 12 duodecies; D.L. n. 193/2016, art. 4, co. 8-bis; D.L. n. 124/2019, art. 34).</w:t>
      </w:r>
      <w:r w:rsidRPr="00DD2254">
        <w:rPr>
          <w:rFonts w:ascii="Times New Roman" w:hAnsi="Times New Roman" w:cs="Times New Roman"/>
          <w:i/>
          <w:iCs/>
        </w:rPr>
        <w:t>  </w:t>
      </w:r>
      <w:r w:rsidRPr="00DD2254">
        <w:rPr>
          <w:rFonts w:ascii="Bookman Old Style" w:hAnsi="Bookman Old Style"/>
          <w:i/>
          <w:iCs/>
        </w:rPr>
        <w:t>Inoltre, l’Agenzia delle entrate, la Guardia di Finanza, l’ANCI e l’IFEL hanno stipulato un protocollo di intesa a livello nazionale in modo da coordinare l’attività degli Enti con gli Uffici preposti alla ricezione delle segnalazioni e da garantire la necessaria governance centrale del processo.</w:t>
      </w:r>
      <w:r w:rsidRPr="00DD2254">
        <w:rPr>
          <w:rFonts w:ascii="Bookman Old Style" w:hAnsi="Bookman Old Style" w:cs="Bookman Old Style"/>
          <w:i/>
          <w:iCs/>
        </w:rPr>
        <w:t> </w:t>
      </w:r>
    </w:p>
    <w:p w14:paraId="6D67490D" w14:textId="77777777" w:rsidR="009F7F96" w:rsidRPr="00DD2254" w:rsidRDefault="009F7F96" w:rsidP="009F7F96">
      <w:pPr>
        <w:shd w:val="clear" w:color="auto" w:fill="FFFFFF"/>
        <w:spacing w:after="80"/>
        <w:jc w:val="both"/>
        <w:rPr>
          <w:rFonts w:ascii="Bookman Old Style" w:hAnsi="Bookman Old Style"/>
          <w:i/>
          <w:iCs/>
        </w:rPr>
      </w:pPr>
      <w:r w:rsidRPr="00DD2254">
        <w:rPr>
          <w:rFonts w:ascii="Bookman Old Style" w:hAnsi="Bookman Old Style"/>
          <w:i/>
          <w:iCs/>
        </w:rPr>
        <w:t>La partecipazione dei Comuni all’accertamento dei tributi erariali si è diffusa in maniera disomogenea e prevalente fra gli enti del Centro-Nord (Emilia-Romagna, Lombardia, Liguria, Toscana) mentre il processo ha stentato a svilupparsi nelle regioni meridionali. L’incentivazione dei Comuni mediante l’innalzamento al 100% della quota assegnata, che si è rivelata efficace per l’avvio del processo in Calabria e in Sicilia,</w:t>
      </w:r>
      <w:r w:rsidRPr="00DD2254">
        <w:rPr>
          <w:rFonts w:ascii="Times New Roman" w:hAnsi="Times New Roman" w:cs="Times New Roman"/>
          <w:i/>
          <w:iCs/>
        </w:rPr>
        <w:t> </w:t>
      </w:r>
      <w:r w:rsidRPr="00DD2254">
        <w:rPr>
          <w:rFonts w:ascii="Bookman Old Style" w:hAnsi="Bookman Old Style"/>
          <w:i/>
          <w:iCs/>
        </w:rPr>
        <w:t>appare ora fattore critico di successo, unitamente al rafforzamento della governance centrale,</w:t>
      </w:r>
      <w:r w:rsidRPr="00DD2254">
        <w:rPr>
          <w:rFonts w:ascii="Times New Roman" w:hAnsi="Times New Roman" w:cs="Times New Roman"/>
          <w:i/>
          <w:iCs/>
        </w:rPr>
        <w:t> </w:t>
      </w:r>
      <w:r w:rsidRPr="00DD2254">
        <w:rPr>
          <w:rFonts w:ascii="Bookman Old Style" w:hAnsi="Bookman Old Style"/>
          <w:i/>
          <w:iCs/>
        </w:rPr>
        <w:t>per il progressivo coinvolgimento degli altri territori. </w:t>
      </w:r>
    </w:p>
    <w:p w14:paraId="2E6A6CB0" w14:textId="77777777" w:rsidR="009F7F96" w:rsidRDefault="009F7F96" w:rsidP="009F7F96">
      <w:pPr>
        <w:shd w:val="clear" w:color="auto" w:fill="FFFFFF"/>
        <w:spacing w:after="80"/>
        <w:jc w:val="both"/>
        <w:rPr>
          <w:rFonts w:ascii="Bookman Old Style" w:hAnsi="Bookman Old Style"/>
          <w:i/>
          <w:iCs/>
        </w:rPr>
      </w:pPr>
      <w:r w:rsidRPr="00DD2254">
        <w:rPr>
          <w:rFonts w:ascii="Bookman Old Style" w:hAnsi="Bookman Old Style"/>
          <w:i/>
          <w:iCs/>
        </w:rPr>
        <w:t>La modifica proposta non ha effetti sulla finanza pubblica in quanto riferita ad entrate non ancora determinate.</w:t>
      </w:r>
    </w:p>
    <w:p w14:paraId="3B2457AC" w14:textId="77777777" w:rsidR="001E3CFE" w:rsidRDefault="001E3CFE" w:rsidP="009F7F96">
      <w:pPr>
        <w:shd w:val="clear" w:color="auto" w:fill="FFFFFF"/>
        <w:spacing w:after="80"/>
        <w:jc w:val="both"/>
        <w:rPr>
          <w:rFonts w:ascii="Bookman Old Style" w:hAnsi="Bookman Old Style"/>
          <w:i/>
          <w:iCs/>
        </w:rPr>
      </w:pPr>
    </w:p>
    <w:p w14:paraId="372B5322" w14:textId="77777777" w:rsidR="001E3CFE" w:rsidRPr="00E67E40" w:rsidRDefault="001E3CFE"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52" w:name="_Toc121214286"/>
      <w:r w:rsidRPr="00E67E40">
        <w:rPr>
          <w:rFonts w:ascii="Bookman Old Style" w:hAnsi="Bookman Old Style"/>
          <w:b/>
          <w:bCs/>
          <w:color w:val="2F5496" w:themeColor="accent1" w:themeShade="BF"/>
          <w:sz w:val="22"/>
          <w:szCs w:val="22"/>
        </w:rPr>
        <w:t>Chiarimento interpretativo della disciplina dell’ipoteca in fase di riscossione coattiva delle entrate (art. 51)</w:t>
      </w:r>
      <w:bookmarkEnd w:id="52"/>
    </w:p>
    <w:p w14:paraId="1421003E" w14:textId="77777777" w:rsidR="001E3CFE" w:rsidRPr="001B31D1" w:rsidRDefault="001E3CFE" w:rsidP="001E3CFE">
      <w:pPr>
        <w:spacing w:after="80"/>
        <w:rPr>
          <w:rFonts w:ascii="Bookman Old Style" w:hAnsi="Bookman Old Style"/>
          <w:i/>
          <w:iCs/>
        </w:rPr>
      </w:pPr>
      <w:r w:rsidRPr="001B31D1">
        <w:rPr>
          <w:rFonts w:ascii="Bookman Old Style" w:hAnsi="Bookman Old Style"/>
          <w:i/>
          <w:iCs/>
        </w:rPr>
        <w:t>All’articolo 51 è aggiunto in fine il seguente comma:</w:t>
      </w:r>
    </w:p>
    <w:p w14:paraId="5113098A" w14:textId="77777777" w:rsidR="001E3CFE" w:rsidRPr="00A8484A" w:rsidRDefault="001E3CFE" w:rsidP="001E3CFE">
      <w:pPr>
        <w:spacing w:after="80"/>
        <w:jc w:val="both"/>
        <w:rPr>
          <w:rFonts w:ascii="Bookman Old Style" w:hAnsi="Bookman Old Style"/>
          <w:i/>
          <w:iCs/>
        </w:rPr>
      </w:pPr>
      <w:r>
        <w:rPr>
          <w:rFonts w:ascii="Bookman Old Style" w:hAnsi="Bookman Old Style"/>
        </w:rPr>
        <w:t>“</w:t>
      </w:r>
      <w:r w:rsidRPr="00A8484A">
        <w:rPr>
          <w:rFonts w:ascii="Bookman Old Style" w:hAnsi="Bookman Old Style"/>
        </w:rPr>
        <w:t>2. All’articolo 77, con particolare riferimento al comma 1-</w:t>
      </w:r>
      <w:r w:rsidRPr="00A8484A">
        <w:rPr>
          <w:rFonts w:ascii="Bookman Old Style" w:hAnsi="Bookman Old Style"/>
          <w:i/>
          <w:iCs/>
        </w:rPr>
        <w:t>bis</w:t>
      </w:r>
      <w:r w:rsidRPr="00A8484A">
        <w:rPr>
          <w:rFonts w:ascii="Bookman Old Style" w:hAnsi="Bookman Old Style"/>
        </w:rPr>
        <w:t xml:space="preserve">, del decreto del Presidente della Repubblica 29 settembre 1973, n. 602, </w:t>
      </w:r>
      <w:r w:rsidRPr="00A8484A">
        <w:rPr>
          <w:rFonts w:ascii="Bookman Old Style" w:eastAsia="Times New Roman" w:hAnsi="Bookman Old Style" w:cs="Times New Roman"/>
          <w:lang w:eastAsia="it-IT"/>
        </w:rPr>
        <w:t xml:space="preserve">il valore da considerare </w:t>
      </w:r>
      <w:r w:rsidRPr="00A8484A">
        <w:rPr>
          <w:rFonts w:ascii="Bookman Old Style" w:hAnsi="Bookman Old Style"/>
        </w:rPr>
        <w:t xml:space="preserve">ai fini </w:t>
      </w:r>
      <w:r w:rsidRPr="00A8484A">
        <w:rPr>
          <w:rFonts w:ascii="Bookman Old Style" w:eastAsia="Times New Roman" w:hAnsi="Bookman Old Style" w:cs="Times New Roman"/>
          <w:lang w:eastAsia="it-IT"/>
        </w:rPr>
        <w:t>della determinazione dell’importo complessivo del credito per cui si procede alla iscrizione di ipoteca immobiliare, è quello risultante dall’importo anche cumulato di una o più cartelle di pagamento riferite allo stesso debitore.</w:t>
      </w:r>
      <w:r>
        <w:rPr>
          <w:rFonts w:ascii="Bookman Old Style" w:eastAsia="Times New Roman" w:hAnsi="Bookman Old Style" w:cs="Times New Roman"/>
          <w:lang w:eastAsia="it-IT"/>
        </w:rPr>
        <w:t>”</w:t>
      </w:r>
      <w:r w:rsidRPr="00A8484A">
        <w:rPr>
          <w:rFonts w:ascii="Bookman Old Style" w:eastAsia="Times New Roman" w:hAnsi="Bookman Old Style" w:cs="Times New Roman"/>
          <w:lang w:eastAsia="it-IT"/>
        </w:rPr>
        <w:t xml:space="preserve"> </w:t>
      </w:r>
    </w:p>
    <w:p w14:paraId="6261C3C1" w14:textId="77777777" w:rsidR="001E3CFE" w:rsidRDefault="001E3CFE" w:rsidP="001E3CFE">
      <w:pPr>
        <w:spacing w:after="80"/>
        <w:jc w:val="center"/>
        <w:rPr>
          <w:rFonts w:ascii="Bookman Old Style" w:hAnsi="Bookman Old Style"/>
          <w:b/>
          <w:bCs/>
        </w:rPr>
      </w:pPr>
      <w:r w:rsidRPr="00D96944">
        <w:rPr>
          <w:rFonts w:ascii="Bookman Old Style" w:hAnsi="Bookman Old Style"/>
          <w:b/>
          <w:bCs/>
        </w:rPr>
        <w:t>Motivazione</w:t>
      </w:r>
    </w:p>
    <w:p w14:paraId="5B9FAE09" w14:textId="77777777" w:rsidR="001E3CFE" w:rsidRDefault="001E3CFE" w:rsidP="001E3CFE">
      <w:pPr>
        <w:spacing w:after="80"/>
        <w:jc w:val="both"/>
        <w:rPr>
          <w:rFonts w:ascii="Bookman Old Style" w:hAnsi="Bookman Old Style"/>
          <w:i/>
          <w:iCs/>
        </w:rPr>
      </w:pPr>
      <w:r w:rsidRPr="00CD0773">
        <w:rPr>
          <w:rFonts w:ascii="Bookman Old Style" w:hAnsi="Bookman Old Style"/>
          <w:i/>
          <w:iCs/>
        </w:rPr>
        <w:t>L’art. 77 del DPR 602/1973 consente l’iscrizione dell’ipoteca, ai fini di assicurare la tutela del credito da riscuotere, purché l’importo complessivo non sia inferiore complessivamente a ventimila euro.</w:t>
      </w:r>
      <w:r>
        <w:rPr>
          <w:rFonts w:ascii="Bookman Old Style" w:hAnsi="Bookman Old Style"/>
          <w:i/>
          <w:iCs/>
        </w:rPr>
        <w:t xml:space="preserve"> </w:t>
      </w:r>
      <w:r w:rsidRPr="00CD0773">
        <w:rPr>
          <w:rFonts w:ascii="Bookman Old Style" w:hAnsi="Bookman Old Style"/>
          <w:i/>
          <w:iCs/>
        </w:rPr>
        <w:t>La normativa, è stata interpretata da varie conservatorie</w:t>
      </w:r>
      <w:r>
        <w:rPr>
          <w:rFonts w:ascii="Bookman Old Style" w:hAnsi="Bookman Old Style"/>
          <w:i/>
          <w:iCs/>
        </w:rPr>
        <w:t xml:space="preserve"> nel senso </w:t>
      </w:r>
      <w:r w:rsidRPr="00CD0773">
        <w:rPr>
          <w:rFonts w:ascii="Bookman Old Style" w:hAnsi="Bookman Old Style"/>
          <w:i/>
          <w:iCs/>
        </w:rPr>
        <w:t xml:space="preserve">che l’importo di ventimila euro </w:t>
      </w:r>
      <w:r>
        <w:rPr>
          <w:rFonts w:ascii="Bookman Old Style" w:hAnsi="Bookman Old Style"/>
          <w:i/>
          <w:iCs/>
        </w:rPr>
        <w:t xml:space="preserve">(soglia minima per l’iscrizione ipotecaria) sia recato </w:t>
      </w:r>
      <w:r w:rsidRPr="00CD0773">
        <w:rPr>
          <w:rFonts w:ascii="Bookman Old Style" w:hAnsi="Bookman Old Style"/>
          <w:i/>
          <w:iCs/>
        </w:rPr>
        <w:t xml:space="preserve">da una singola cartella, e quindi, anche da ogni singolo atto di accertamento esecutivo, atto equiparato alla cartella di pagamento </w:t>
      </w:r>
      <w:r>
        <w:rPr>
          <w:rFonts w:ascii="Bookman Old Style" w:hAnsi="Bookman Old Style"/>
          <w:i/>
          <w:iCs/>
        </w:rPr>
        <w:t xml:space="preserve">per effetto della riforma della riscossione locale di cui al </w:t>
      </w:r>
      <w:r w:rsidRPr="00CD0773">
        <w:rPr>
          <w:rFonts w:ascii="Bookman Old Style" w:hAnsi="Bookman Old Style"/>
          <w:i/>
          <w:iCs/>
        </w:rPr>
        <w:t xml:space="preserve">comma 792, lett. l), </w:t>
      </w:r>
      <w:r>
        <w:rPr>
          <w:rFonts w:ascii="Bookman Old Style" w:hAnsi="Bookman Old Style"/>
          <w:i/>
          <w:iCs/>
        </w:rPr>
        <w:t xml:space="preserve">della </w:t>
      </w:r>
      <w:r w:rsidRPr="00CD0773">
        <w:rPr>
          <w:rFonts w:ascii="Bookman Old Style" w:hAnsi="Bookman Old Style"/>
          <w:i/>
          <w:iCs/>
        </w:rPr>
        <w:t xml:space="preserve">legge 160/2019. </w:t>
      </w:r>
    </w:p>
    <w:p w14:paraId="17E470D4" w14:textId="56CD4F11" w:rsidR="001E3CFE" w:rsidRDefault="001E3CFE" w:rsidP="001E3CFE">
      <w:pPr>
        <w:spacing w:after="80"/>
        <w:jc w:val="both"/>
        <w:rPr>
          <w:rFonts w:ascii="Bookman Old Style" w:hAnsi="Bookman Old Style"/>
          <w:i/>
          <w:iCs/>
        </w:rPr>
      </w:pPr>
      <w:r w:rsidRPr="00CD0773">
        <w:rPr>
          <w:rFonts w:ascii="Bookman Old Style" w:hAnsi="Bookman Old Style"/>
          <w:i/>
          <w:iCs/>
        </w:rPr>
        <w:t>Pertanto, può accadere che una cartella di pagamento</w:t>
      </w:r>
      <w:r>
        <w:rPr>
          <w:rFonts w:ascii="Bookman Old Style" w:hAnsi="Bookman Old Style"/>
          <w:i/>
          <w:iCs/>
        </w:rPr>
        <w:t xml:space="preserve"> </w:t>
      </w:r>
      <w:r w:rsidRPr="00CD0773">
        <w:rPr>
          <w:rFonts w:ascii="Bookman Old Style" w:hAnsi="Bookman Old Style"/>
          <w:i/>
          <w:iCs/>
        </w:rPr>
        <w:t>contenente crediti di diversi enti (Agenzia Entrate, Inps, Comuni) e per più annualità, di importo superiore a</w:t>
      </w:r>
      <w:r>
        <w:rPr>
          <w:rFonts w:ascii="Bookman Old Style" w:hAnsi="Bookman Old Style"/>
          <w:i/>
          <w:iCs/>
        </w:rPr>
        <w:t>i</w:t>
      </w:r>
      <w:r w:rsidRPr="00CD0773">
        <w:rPr>
          <w:rFonts w:ascii="Bookman Old Style" w:hAnsi="Bookman Old Style"/>
          <w:i/>
          <w:iCs/>
        </w:rPr>
        <w:t xml:space="preserve"> </w:t>
      </w:r>
      <w:r>
        <w:rPr>
          <w:rFonts w:ascii="Bookman Old Style" w:hAnsi="Bookman Old Style"/>
          <w:i/>
          <w:iCs/>
        </w:rPr>
        <w:t xml:space="preserve">20mila </w:t>
      </w:r>
      <w:r w:rsidRPr="00CD0773">
        <w:rPr>
          <w:rFonts w:ascii="Bookman Old Style" w:hAnsi="Bookman Old Style"/>
          <w:i/>
          <w:iCs/>
        </w:rPr>
        <w:t xml:space="preserve">euro </w:t>
      </w:r>
      <w:r>
        <w:rPr>
          <w:rFonts w:ascii="Bookman Old Style" w:hAnsi="Bookman Old Style"/>
          <w:i/>
          <w:iCs/>
        </w:rPr>
        <w:t xml:space="preserve">che </w:t>
      </w:r>
      <w:r w:rsidRPr="00CD0773">
        <w:rPr>
          <w:rFonts w:ascii="Bookman Old Style" w:hAnsi="Bookman Old Style"/>
          <w:i/>
          <w:iCs/>
        </w:rPr>
        <w:t>legittim</w:t>
      </w:r>
      <w:r>
        <w:rPr>
          <w:rFonts w:ascii="Bookman Old Style" w:hAnsi="Bookman Old Style"/>
          <w:i/>
          <w:iCs/>
        </w:rPr>
        <w:t>ano</w:t>
      </w:r>
      <w:r w:rsidRPr="00CD0773">
        <w:rPr>
          <w:rFonts w:ascii="Bookman Old Style" w:hAnsi="Bookman Old Style"/>
          <w:i/>
          <w:iCs/>
        </w:rPr>
        <w:t xml:space="preserve"> l’iscrizione di ipoteca, mentre due cartelle di pagamento o due atti di accertamento esecutivi emessi nei confronti dello stesso debitore, ma in due annualità diverse, se singolarmente di importo inferiore </w:t>
      </w:r>
      <w:r>
        <w:rPr>
          <w:rFonts w:ascii="Bookman Old Style" w:hAnsi="Bookman Old Style"/>
          <w:i/>
          <w:iCs/>
        </w:rPr>
        <w:t>alla medesima soglia</w:t>
      </w:r>
      <w:r w:rsidRPr="00CD0773">
        <w:rPr>
          <w:rFonts w:ascii="Bookman Old Style" w:hAnsi="Bookman Old Style"/>
          <w:i/>
          <w:iCs/>
        </w:rPr>
        <w:t>, non possano dar luogo all’iscrizione di ipoteca, sebbene l’importo complessivo superi</w:t>
      </w:r>
      <w:r>
        <w:rPr>
          <w:rFonts w:ascii="Bookman Old Style" w:hAnsi="Bookman Old Style"/>
          <w:i/>
          <w:iCs/>
        </w:rPr>
        <w:t xml:space="preserve">, anche ampiamente, </w:t>
      </w:r>
      <w:r w:rsidRPr="00CD0773">
        <w:rPr>
          <w:rFonts w:ascii="Bookman Old Style" w:hAnsi="Bookman Old Style"/>
          <w:i/>
          <w:iCs/>
        </w:rPr>
        <w:t>il limite di legge.</w:t>
      </w:r>
      <w:r>
        <w:rPr>
          <w:rFonts w:ascii="Bookman Old Style" w:hAnsi="Bookman Old Style"/>
          <w:i/>
          <w:iCs/>
        </w:rPr>
        <w:t xml:space="preserve"> </w:t>
      </w:r>
      <w:r w:rsidRPr="00CD0773">
        <w:rPr>
          <w:rFonts w:ascii="Bookman Old Style" w:hAnsi="Bookman Old Style"/>
          <w:i/>
          <w:iCs/>
        </w:rPr>
        <w:t>Con l’emendamento proposto si supera tale incongruenza, valorizzando l’importo complessivo del credito vantato nei confronti del singolo debitore, indipendentemente dal fatto che tale credito sia cristalizzato in una singola cartella</w:t>
      </w:r>
      <w:r>
        <w:rPr>
          <w:rFonts w:ascii="Bookman Old Style" w:hAnsi="Bookman Old Style"/>
          <w:i/>
          <w:iCs/>
        </w:rPr>
        <w:t xml:space="preserve"> o </w:t>
      </w:r>
      <w:r w:rsidRPr="00CD0773">
        <w:rPr>
          <w:rFonts w:ascii="Bookman Old Style" w:hAnsi="Bookman Old Style"/>
          <w:i/>
          <w:iCs/>
        </w:rPr>
        <w:t>atto di accertamento esecutivo o in più atti.</w:t>
      </w:r>
    </w:p>
    <w:p w14:paraId="1D5F18CB" w14:textId="77777777" w:rsidR="00560D77" w:rsidRPr="00CD0773" w:rsidRDefault="00560D77" w:rsidP="00560D77">
      <w:pPr>
        <w:pStyle w:val="Titolo1"/>
      </w:pPr>
    </w:p>
    <w:p w14:paraId="5F1802AB" w14:textId="2703E191" w:rsidR="001E3CFE" w:rsidRPr="00E67E40" w:rsidRDefault="00560D77" w:rsidP="00560D77">
      <w:pPr>
        <w:pStyle w:val="Titolo1"/>
        <w:rPr>
          <w:rFonts w:ascii="Bookman Old Style" w:hAnsi="Bookman Old Style"/>
          <w:b/>
          <w:bCs/>
          <w:sz w:val="24"/>
          <w:szCs w:val="24"/>
        </w:rPr>
      </w:pPr>
      <w:bookmarkStart w:id="53" w:name="_Toc121214287"/>
      <w:r w:rsidRPr="00E67E40">
        <w:rPr>
          <w:rFonts w:ascii="Bookman Old Style" w:hAnsi="Bookman Old Style"/>
          <w:b/>
          <w:bCs/>
          <w:sz w:val="24"/>
          <w:szCs w:val="24"/>
        </w:rPr>
        <w:t>RIGENERAZIONE URBANA</w:t>
      </w:r>
      <w:bookmarkEnd w:id="53"/>
    </w:p>
    <w:p w14:paraId="5AF138F0" w14:textId="77777777" w:rsidR="00560D77" w:rsidRPr="00560D77" w:rsidRDefault="00560D77" w:rsidP="00560D77"/>
    <w:p w14:paraId="6B22DB3B" w14:textId="39C08D85" w:rsidR="00970944" w:rsidRPr="00A33109" w:rsidRDefault="00970944"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54" w:name="_Toc121214288"/>
      <w:r w:rsidRPr="00A33109">
        <w:rPr>
          <w:rFonts w:ascii="Bookman Old Style" w:hAnsi="Bookman Old Style"/>
          <w:b/>
          <w:bCs/>
          <w:color w:val="2F5496" w:themeColor="accent1" w:themeShade="BF"/>
          <w:sz w:val="22"/>
          <w:szCs w:val="22"/>
        </w:rPr>
        <w:t>Fondo rigenerazione ai Comuni capoluogo sede di città metropolitane.</w:t>
      </w:r>
      <w:bookmarkEnd w:id="54"/>
    </w:p>
    <w:p w14:paraId="33416224" w14:textId="77777777" w:rsidR="00970944" w:rsidRPr="00970944" w:rsidRDefault="00970944" w:rsidP="00970944">
      <w:pPr>
        <w:pStyle w:val="Titolo2"/>
        <w:rPr>
          <w:rFonts w:ascii="Bookman Old Style" w:hAnsi="Bookman Old Style"/>
          <w:b/>
          <w:bCs/>
          <w:color w:val="auto"/>
          <w:sz w:val="22"/>
          <w:szCs w:val="22"/>
        </w:rPr>
      </w:pPr>
    </w:p>
    <w:p w14:paraId="6E5ED4B8" w14:textId="77777777" w:rsidR="00970944" w:rsidRPr="00970944" w:rsidRDefault="00970944" w:rsidP="00560D77">
      <w:pPr>
        <w:spacing w:after="0" w:line="240" w:lineRule="auto"/>
        <w:jc w:val="center"/>
      </w:pPr>
      <w:r w:rsidRPr="00970944">
        <w:t>Art. 127</w:t>
      </w:r>
    </w:p>
    <w:p w14:paraId="47138849" w14:textId="77777777" w:rsidR="00970944" w:rsidRPr="00970944" w:rsidRDefault="00970944" w:rsidP="00560D77">
      <w:pPr>
        <w:spacing w:after="0" w:line="240" w:lineRule="auto"/>
        <w:jc w:val="center"/>
      </w:pPr>
      <w:r w:rsidRPr="00970944">
        <w:t>(Fondo per il contrasto al consumo di suolo)</w:t>
      </w:r>
    </w:p>
    <w:p w14:paraId="536032A8" w14:textId="77777777" w:rsidR="00970944" w:rsidRPr="00970944" w:rsidRDefault="00970944" w:rsidP="00970944">
      <w:pPr>
        <w:rPr>
          <w:rFonts w:ascii="Bookman Old Style" w:hAnsi="Bookman Old Style"/>
        </w:rPr>
      </w:pPr>
    </w:p>
    <w:p w14:paraId="2C844494" w14:textId="77777777" w:rsidR="00970944" w:rsidRPr="00970944" w:rsidRDefault="00970944" w:rsidP="00970944">
      <w:pPr>
        <w:jc w:val="both"/>
        <w:rPr>
          <w:rFonts w:ascii="Bookman Old Style" w:hAnsi="Bookman Old Style" w:cs="Calibri"/>
          <w:i/>
          <w:iCs/>
        </w:rPr>
      </w:pPr>
      <w:r w:rsidRPr="00970944">
        <w:rPr>
          <w:rFonts w:ascii="Bookman Old Style" w:hAnsi="Bookman Old Style"/>
          <w:i/>
          <w:iCs/>
        </w:rPr>
        <w:t>All’art. 127, comma 2, dopo le parole</w:t>
      </w:r>
      <w:r w:rsidRPr="00970944">
        <w:rPr>
          <w:rFonts w:ascii="Bookman Old Style" w:hAnsi="Bookman Old Style"/>
        </w:rPr>
        <w:t xml:space="preserve"> “Ministro dell’economia e delle finanze” </w:t>
      </w:r>
      <w:r w:rsidRPr="00970944">
        <w:rPr>
          <w:rFonts w:ascii="Bookman Old Style" w:hAnsi="Bookman Old Style"/>
          <w:i/>
          <w:iCs/>
        </w:rPr>
        <w:t>aggiungere le seguenti parole</w:t>
      </w:r>
      <w:r w:rsidRPr="00970944">
        <w:rPr>
          <w:rFonts w:ascii="Bookman Old Style" w:hAnsi="Bookman Old Style"/>
        </w:rPr>
        <w:t xml:space="preserve"> “</w:t>
      </w:r>
      <w:r w:rsidRPr="00970944">
        <w:rPr>
          <w:rFonts w:ascii="Bookman Old Style" w:hAnsi="Bookman Old Style" w:cs="Calibri"/>
        </w:rPr>
        <w:t>previa intesa in sede di Conferenza Unificata di cui all'articolo 8 del decreto legislativo 28 agosto 1997, n. 281</w:t>
      </w:r>
      <w:r w:rsidRPr="00970944">
        <w:rPr>
          <w:rFonts w:ascii="Bookman Old Style" w:hAnsi="Bookman Old Style" w:cs="Calibri"/>
          <w:i/>
          <w:iCs/>
        </w:rPr>
        <w:t>” e dopo le parole “</w:t>
      </w:r>
      <w:r w:rsidRPr="00970944">
        <w:rPr>
          <w:rFonts w:ascii="Bookman Old Style" w:hAnsi="Bookman Old Style" w:cs="Calibri"/>
        </w:rPr>
        <w:t>a favore</w:t>
      </w:r>
      <w:r w:rsidRPr="00970944">
        <w:rPr>
          <w:rFonts w:ascii="Bookman Old Style" w:hAnsi="Bookman Old Style" w:cs="Calibri"/>
          <w:i/>
          <w:iCs/>
        </w:rPr>
        <w:t>” aggiungere le seguenti parole “dei Comuni capoluogo sede di Città metropolitane”.</w:t>
      </w:r>
    </w:p>
    <w:p w14:paraId="6947AAAB" w14:textId="77777777" w:rsidR="00970944" w:rsidRPr="00970944" w:rsidRDefault="00970944" w:rsidP="00970944">
      <w:pPr>
        <w:jc w:val="center"/>
        <w:rPr>
          <w:rFonts w:ascii="Bookman Old Style" w:hAnsi="Bookman Old Style"/>
          <w:b/>
          <w:bCs/>
        </w:rPr>
      </w:pPr>
      <w:r w:rsidRPr="00970944">
        <w:rPr>
          <w:rFonts w:ascii="Bookman Old Style" w:hAnsi="Bookman Old Style" w:cs="Calibri"/>
          <w:b/>
          <w:bCs/>
        </w:rPr>
        <w:t>Motivazione</w:t>
      </w:r>
    </w:p>
    <w:p w14:paraId="7D6B5834" w14:textId="77777777" w:rsidR="00970944" w:rsidRDefault="00970944" w:rsidP="00970944">
      <w:pPr>
        <w:jc w:val="both"/>
        <w:rPr>
          <w:rFonts w:ascii="Bookman Old Style" w:hAnsi="Bookman Old Style"/>
          <w:i/>
          <w:iCs/>
        </w:rPr>
      </w:pPr>
      <w:r w:rsidRPr="00970944">
        <w:rPr>
          <w:rFonts w:ascii="Bookman Old Style" w:hAnsi="Bookman Old Style"/>
          <w:i/>
          <w:iCs/>
        </w:rPr>
        <w:t>Il fondo, di cui al presente articolo, ha la finalità di intervenire sul tessuto urbano delle città che hanno competenza in materia di pianificazione territoriale. Si ritiene pertanto che lo stesso fondo possa essere attributo direttamente almeno ai comuni capoluogo sede di Città metropolitane che hanno periferie che necessitano di interventi per la riduzione del degrado urbano.</w:t>
      </w:r>
    </w:p>
    <w:p w14:paraId="0D084FF7" w14:textId="77777777" w:rsidR="009C7FFA" w:rsidRPr="00970944" w:rsidRDefault="009C7FFA" w:rsidP="00970944">
      <w:pPr>
        <w:jc w:val="both"/>
        <w:rPr>
          <w:rFonts w:ascii="Bookman Old Style" w:hAnsi="Bookman Old Style"/>
          <w:i/>
          <w:iCs/>
        </w:rPr>
      </w:pPr>
    </w:p>
    <w:p w14:paraId="2D139187" w14:textId="15DA5DDF" w:rsidR="009F7F96" w:rsidRPr="00F9267F" w:rsidRDefault="00572FC5" w:rsidP="00572FC5">
      <w:pPr>
        <w:pStyle w:val="Titolo1"/>
        <w:rPr>
          <w:rFonts w:ascii="Bookman Old Style" w:hAnsi="Bookman Old Style"/>
          <w:b/>
          <w:bCs/>
          <w:sz w:val="22"/>
          <w:szCs w:val="22"/>
        </w:rPr>
      </w:pPr>
      <w:bookmarkStart w:id="55" w:name="_Toc121214289"/>
      <w:r w:rsidRPr="00F9267F">
        <w:rPr>
          <w:rFonts w:ascii="Bookman Old Style" w:hAnsi="Bookman Old Style"/>
          <w:b/>
          <w:bCs/>
          <w:sz w:val="22"/>
          <w:szCs w:val="22"/>
        </w:rPr>
        <w:t>ATTIVIT</w:t>
      </w:r>
      <w:r w:rsidR="00F9267F" w:rsidRPr="00F9267F">
        <w:rPr>
          <w:rFonts w:ascii="Bookman Old Style" w:hAnsi="Bookman Old Style"/>
          <w:b/>
          <w:bCs/>
          <w:sz w:val="22"/>
          <w:szCs w:val="22"/>
        </w:rPr>
        <w:t>À</w:t>
      </w:r>
      <w:r w:rsidRPr="00F9267F">
        <w:rPr>
          <w:rFonts w:ascii="Bookman Old Style" w:hAnsi="Bookman Old Style"/>
          <w:b/>
          <w:bCs/>
          <w:sz w:val="22"/>
          <w:szCs w:val="22"/>
        </w:rPr>
        <w:t xml:space="preserve"> PRODUTTIVE</w:t>
      </w:r>
      <w:bookmarkEnd w:id="55"/>
    </w:p>
    <w:p w14:paraId="701F848B" w14:textId="4832C15B" w:rsidR="00572FC5" w:rsidRDefault="00572FC5" w:rsidP="00572FC5">
      <w:pPr>
        <w:spacing w:after="0" w:line="276" w:lineRule="auto"/>
        <w:jc w:val="both"/>
        <w:rPr>
          <w:rFonts w:ascii="Calibri" w:hAnsi="Calibri" w:cs="Calibri"/>
          <w:lang w:eastAsia="it-IT"/>
        </w:rPr>
      </w:pPr>
    </w:p>
    <w:p w14:paraId="5E30A848" w14:textId="18447858" w:rsidR="00560D77" w:rsidRPr="00560D77" w:rsidRDefault="00560D77"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56" w:name="_Toc121214290"/>
      <w:r w:rsidRPr="00560D77">
        <w:rPr>
          <w:rFonts w:ascii="Bookman Old Style" w:hAnsi="Bookman Old Style"/>
          <w:b/>
          <w:bCs/>
          <w:color w:val="2F5496" w:themeColor="accent1" w:themeShade="BF"/>
          <w:sz w:val="22"/>
          <w:szCs w:val="22"/>
        </w:rPr>
        <w:t>Sostegno pubblici esercizi</w:t>
      </w:r>
      <w:bookmarkEnd w:id="56"/>
    </w:p>
    <w:p w14:paraId="4D56A86E" w14:textId="116153AE" w:rsidR="00572FC5" w:rsidRPr="002372D2" w:rsidRDefault="002372D2" w:rsidP="00572FC5">
      <w:pPr>
        <w:spacing w:after="0" w:line="276" w:lineRule="auto"/>
        <w:jc w:val="both"/>
        <w:rPr>
          <w:rFonts w:ascii="Bookman Old Style" w:hAnsi="Bookman Old Style" w:cs="Calibri"/>
          <w:i/>
          <w:iCs/>
          <w:lang w:eastAsia="it-IT"/>
        </w:rPr>
      </w:pPr>
      <w:r w:rsidRPr="002372D2">
        <w:rPr>
          <w:rFonts w:ascii="Bookman Old Style" w:hAnsi="Bookman Old Style" w:cs="Calibri"/>
          <w:i/>
          <w:iCs/>
          <w:lang w:eastAsia="it-IT"/>
        </w:rPr>
        <w:t>Inserire la seguente norma:</w:t>
      </w:r>
    </w:p>
    <w:p w14:paraId="10885BDB" w14:textId="0F81C7F0" w:rsidR="00572FC5" w:rsidRPr="00572FC5" w:rsidRDefault="00572FC5" w:rsidP="00572FC5">
      <w:pPr>
        <w:spacing w:after="0" w:line="276" w:lineRule="auto"/>
        <w:jc w:val="both"/>
        <w:rPr>
          <w:rFonts w:ascii="Bookman Old Style" w:hAnsi="Bookman Old Style" w:cs="Calibri"/>
          <w:lang w:eastAsia="it-IT"/>
        </w:rPr>
      </w:pPr>
      <w:r w:rsidRPr="00572FC5">
        <w:rPr>
          <w:rFonts w:ascii="Bookman Old Style" w:hAnsi="Bookman Old Style" w:cs="Calibri"/>
          <w:lang w:eastAsia="it-IT"/>
        </w:rPr>
        <w:t xml:space="preserve">Al comma 1 dell’articolo 40 del </w:t>
      </w:r>
      <w:r w:rsidR="00560D77">
        <w:rPr>
          <w:rFonts w:ascii="Bookman Old Style" w:hAnsi="Bookman Old Style" w:cs="Calibri"/>
          <w:lang w:eastAsia="it-IT"/>
        </w:rPr>
        <w:t>d</w:t>
      </w:r>
      <w:r w:rsidRPr="00572FC5">
        <w:rPr>
          <w:rFonts w:ascii="Bookman Old Style" w:hAnsi="Bookman Old Style" w:cs="Calibri"/>
          <w:lang w:eastAsia="it-IT"/>
        </w:rPr>
        <w:t>ecreto legge 23 settembre 2022, n. 144, convertito in legge 17 novembre 2022, n. 175,</w:t>
      </w:r>
      <w:r w:rsidR="00560D77">
        <w:rPr>
          <w:rFonts w:ascii="Bookman Old Style" w:hAnsi="Bookman Old Style" w:cs="Calibri"/>
          <w:lang w:eastAsia="it-IT"/>
        </w:rPr>
        <w:t xml:space="preserve"> </w:t>
      </w:r>
      <w:r w:rsidRPr="00572FC5">
        <w:rPr>
          <w:rFonts w:ascii="Bookman Old Style" w:hAnsi="Bookman Old Style" w:cs="Calibri"/>
          <w:lang w:eastAsia="it-IT"/>
        </w:rPr>
        <w:t xml:space="preserve">le parole </w:t>
      </w:r>
      <w:r w:rsidRPr="00572FC5">
        <w:rPr>
          <w:rFonts w:ascii="Bookman Old Style" w:hAnsi="Bookman Old Style" w:cs="Calibri"/>
          <w:i/>
          <w:iCs/>
          <w:lang w:eastAsia="it-IT"/>
        </w:rPr>
        <w:t>“31 dicembre 2022</w:t>
      </w:r>
      <w:r w:rsidRPr="00572FC5">
        <w:rPr>
          <w:rFonts w:ascii="Bookman Old Style" w:hAnsi="Bookman Old Style" w:cs="Calibri"/>
          <w:lang w:eastAsia="it-IT"/>
        </w:rPr>
        <w:t>” sono sostituite dalle seguenti: “</w:t>
      </w:r>
      <w:r w:rsidRPr="00572FC5">
        <w:rPr>
          <w:rFonts w:ascii="Bookman Old Style" w:hAnsi="Bookman Old Style" w:cs="Calibri"/>
          <w:i/>
          <w:iCs/>
          <w:lang w:eastAsia="it-IT"/>
        </w:rPr>
        <w:t>31 dicembre 2023”.</w:t>
      </w:r>
    </w:p>
    <w:p w14:paraId="48561355" w14:textId="77777777" w:rsidR="00572FC5" w:rsidRPr="00572FC5" w:rsidRDefault="00572FC5" w:rsidP="00560D77">
      <w:pPr>
        <w:spacing w:after="0" w:line="276" w:lineRule="auto"/>
        <w:jc w:val="center"/>
        <w:rPr>
          <w:rFonts w:ascii="Bookman Old Style" w:hAnsi="Bookman Old Style" w:cs="Calibri"/>
          <w:b/>
          <w:bCs/>
          <w:lang w:eastAsia="it-IT"/>
        </w:rPr>
      </w:pPr>
      <w:r w:rsidRPr="00572FC5">
        <w:rPr>
          <w:rFonts w:ascii="Bookman Old Style" w:hAnsi="Bookman Old Style" w:cs="Calibri"/>
          <w:b/>
          <w:bCs/>
          <w:lang w:eastAsia="it-IT"/>
        </w:rPr>
        <w:t>Motivazione</w:t>
      </w:r>
    </w:p>
    <w:p w14:paraId="29307E78" w14:textId="02837FF0" w:rsidR="00572FC5" w:rsidRPr="00572FC5" w:rsidRDefault="00572FC5" w:rsidP="00560D77">
      <w:pPr>
        <w:spacing w:after="0" w:line="276" w:lineRule="auto"/>
        <w:jc w:val="both"/>
        <w:rPr>
          <w:rFonts w:ascii="Bookman Old Style" w:hAnsi="Bookman Old Style" w:cs="Calibri"/>
          <w:i/>
          <w:iCs/>
          <w:lang w:eastAsia="it-IT"/>
        </w:rPr>
      </w:pPr>
      <w:r w:rsidRPr="00572FC5">
        <w:rPr>
          <w:rFonts w:ascii="Bookman Old Style" w:hAnsi="Bookman Old Style" w:cs="Calibri"/>
          <w:i/>
          <w:iCs/>
          <w:lang w:eastAsia="it-IT"/>
        </w:rPr>
        <w:t>L’emendamento si rende necessario per consentire la piena ripresa delle attività economiche dopo la grave crisi sociale ed economica dovuta all'emergenza epidemiologica da COVID-19.</w:t>
      </w:r>
    </w:p>
    <w:p w14:paraId="44708C39" w14:textId="77777777" w:rsidR="00572FC5" w:rsidRPr="00572FC5" w:rsidRDefault="00572FC5" w:rsidP="00560D77">
      <w:pPr>
        <w:spacing w:after="0" w:line="276" w:lineRule="auto"/>
        <w:jc w:val="both"/>
        <w:rPr>
          <w:rFonts w:ascii="Bookman Old Style" w:hAnsi="Bookman Old Style" w:cs="Calibri"/>
          <w:i/>
          <w:iCs/>
          <w:lang w:eastAsia="it-IT"/>
        </w:rPr>
      </w:pPr>
      <w:r w:rsidRPr="00572FC5">
        <w:rPr>
          <w:rFonts w:ascii="Bookman Old Style" w:hAnsi="Bookman Old Style" w:cs="Calibri"/>
          <w:i/>
          <w:iCs/>
          <w:lang w:eastAsia="it-IT"/>
        </w:rPr>
        <w:t>L’emendamento non comporta oneri aggiuntivi in quanto non vengono toccate le disposizioni in materia di canone unico.</w:t>
      </w:r>
    </w:p>
    <w:p w14:paraId="2AEAB6E7" w14:textId="77777777" w:rsidR="00572FC5" w:rsidRPr="00572FC5" w:rsidRDefault="00572FC5" w:rsidP="00572FC5">
      <w:pPr>
        <w:pStyle w:val="Titolo1"/>
      </w:pPr>
    </w:p>
    <w:p w14:paraId="4B7DAF58" w14:textId="77777777" w:rsidR="002372D2" w:rsidRDefault="002372D2">
      <w:pPr>
        <w:rPr>
          <w:rFonts w:ascii="Bookman Old Style" w:eastAsiaTheme="majorEastAsia" w:hAnsi="Bookman Old Style" w:cstheme="majorBidi"/>
          <w:b/>
          <w:bCs/>
          <w:color w:val="2F5496" w:themeColor="accent1" w:themeShade="BF"/>
        </w:rPr>
      </w:pPr>
      <w:r>
        <w:rPr>
          <w:rFonts w:ascii="Bookman Old Style" w:hAnsi="Bookman Old Style"/>
          <w:b/>
          <w:bCs/>
        </w:rPr>
        <w:br w:type="page"/>
      </w:r>
    </w:p>
    <w:p w14:paraId="3FCD6475" w14:textId="2C8027A5" w:rsidR="00AE2D6A" w:rsidRPr="00A20489" w:rsidRDefault="00A20489" w:rsidP="00AE2D6A">
      <w:pPr>
        <w:pStyle w:val="Titolo1"/>
        <w:rPr>
          <w:rFonts w:ascii="Bookman Old Style" w:hAnsi="Bookman Old Style"/>
          <w:b/>
          <w:bCs/>
          <w:sz w:val="22"/>
          <w:szCs w:val="22"/>
        </w:rPr>
      </w:pPr>
      <w:bookmarkStart w:id="57" w:name="_Toc121214291"/>
      <w:r w:rsidRPr="00A20489">
        <w:rPr>
          <w:rFonts w:ascii="Bookman Old Style" w:hAnsi="Bookman Old Style"/>
          <w:b/>
          <w:bCs/>
          <w:sz w:val="22"/>
          <w:szCs w:val="22"/>
        </w:rPr>
        <w:t>CANONE UNICO</w:t>
      </w:r>
      <w:bookmarkEnd w:id="57"/>
    </w:p>
    <w:p w14:paraId="00A0A800" w14:textId="77777777" w:rsidR="00AE2D6A" w:rsidRPr="00A20489" w:rsidRDefault="00AE2D6A" w:rsidP="00081F66">
      <w:pPr>
        <w:jc w:val="both"/>
        <w:rPr>
          <w:rFonts w:ascii="Bookman Old Style" w:hAnsi="Bookman Old Style"/>
        </w:rPr>
      </w:pPr>
    </w:p>
    <w:p w14:paraId="4AE7D08F" w14:textId="77777777" w:rsidR="0056793E" w:rsidRPr="00B32FB7" w:rsidRDefault="0056793E"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58" w:name="_Toc121214292"/>
      <w:r w:rsidRPr="00B32FB7">
        <w:rPr>
          <w:rFonts w:ascii="Bookman Old Style" w:hAnsi="Bookman Old Style"/>
          <w:b/>
          <w:bCs/>
          <w:color w:val="2F5496" w:themeColor="accent1" w:themeShade="BF"/>
          <w:sz w:val="22"/>
          <w:szCs w:val="22"/>
        </w:rPr>
        <w:t>Canone unico-Determinazione tariffe massime</w:t>
      </w:r>
      <w:r w:rsidRPr="00B32FB7">
        <w:rPr>
          <w:rFonts w:ascii="Times New Roman" w:hAnsi="Times New Roman" w:cs="Times New Roman"/>
          <w:b/>
          <w:bCs/>
          <w:color w:val="2F5496" w:themeColor="accent1" w:themeShade="BF"/>
          <w:sz w:val="22"/>
          <w:szCs w:val="22"/>
        </w:rPr>
        <w:t>   </w:t>
      </w:r>
      <w:bookmarkEnd w:id="58"/>
      <w:r w:rsidRPr="00B32FB7">
        <w:rPr>
          <w:rFonts w:ascii="Bookman Old Style" w:hAnsi="Bookman Old Style"/>
          <w:b/>
          <w:bCs/>
          <w:color w:val="2F5496" w:themeColor="accent1" w:themeShade="BF"/>
          <w:sz w:val="22"/>
          <w:szCs w:val="22"/>
        </w:rPr>
        <w:t> </w:t>
      </w:r>
    </w:p>
    <w:p w14:paraId="3A2CC0D3" w14:textId="13C03803" w:rsidR="00273447" w:rsidRPr="00A20489" w:rsidRDefault="00273447" w:rsidP="00273447">
      <w:pPr>
        <w:pStyle w:val="PreformattatoHTML"/>
        <w:shd w:val="clear" w:color="auto" w:fill="FFFFFF"/>
        <w:spacing w:after="80" w:line="259" w:lineRule="auto"/>
        <w:jc w:val="both"/>
        <w:rPr>
          <w:rFonts w:ascii="Bookman Old Style" w:hAnsi="Bookman Old Style"/>
          <w:i/>
          <w:iCs/>
          <w:sz w:val="22"/>
          <w:szCs w:val="22"/>
        </w:rPr>
      </w:pPr>
      <w:bookmarkStart w:id="59" w:name="_Hlk120714750"/>
      <w:r w:rsidRPr="00A20489">
        <w:rPr>
          <w:rFonts w:ascii="Bookman Old Style" w:hAnsi="Bookman Old Style"/>
          <w:i/>
          <w:iCs/>
          <w:sz w:val="22"/>
          <w:szCs w:val="22"/>
        </w:rPr>
        <w:t>Dopo l’art. 1</w:t>
      </w:r>
      <w:r w:rsidR="00FF2A80" w:rsidRPr="00A20489">
        <w:rPr>
          <w:rFonts w:ascii="Bookman Old Style" w:hAnsi="Bookman Old Style"/>
          <w:i/>
          <w:iCs/>
          <w:sz w:val="22"/>
          <w:szCs w:val="22"/>
        </w:rPr>
        <w:t>44</w:t>
      </w:r>
      <w:r w:rsidRPr="00A20489">
        <w:rPr>
          <w:rFonts w:ascii="Bookman Old Style" w:hAnsi="Bookman Old Style"/>
          <w:i/>
          <w:iCs/>
          <w:sz w:val="22"/>
          <w:szCs w:val="22"/>
        </w:rPr>
        <w:t xml:space="preserve"> aggiungere il seguente art. 14</w:t>
      </w:r>
      <w:r w:rsidR="00FF2A80" w:rsidRPr="00A20489">
        <w:rPr>
          <w:rFonts w:ascii="Bookman Old Style" w:hAnsi="Bookman Old Style"/>
          <w:i/>
          <w:iCs/>
          <w:sz w:val="22"/>
          <w:szCs w:val="22"/>
        </w:rPr>
        <w:t>4</w:t>
      </w:r>
      <w:r w:rsidR="008757EF">
        <w:rPr>
          <w:rFonts w:ascii="Bookman Old Style" w:hAnsi="Bookman Old Style"/>
          <w:i/>
          <w:iCs/>
          <w:sz w:val="22"/>
          <w:szCs w:val="22"/>
        </w:rPr>
        <w:t>-</w:t>
      </w:r>
      <w:r w:rsidRPr="00A20489">
        <w:rPr>
          <w:rFonts w:ascii="Bookman Old Style" w:hAnsi="Bookman Old Style"/>
          <w:i/>
          <w:iCs/>
          <w:sz w:val="22"/>
          <w:szCs w:val="22"/>
        </w:rPr>
        <w:t>bis</w:t>
      </w:r>
    </w:p>
    <w:bookmarkEnd w:id="59"/>
    <w:p w14:paraId="39DDDEB5" w14:textId="52E834A8" w:rsidR="00FB6349" w:rsidRPr="00FB6349" w:rsidRDefault="00657281" w:rsidP="00FB6349">
      <w:pPr>
        <w:pStyle w:val="PreformattatoHTML"/>
        <w:shd w:val="clear" w:color="auto" w:fill="FFFFFF"/>
        <w:spacing w:after="80" w:line="259" w:lineRule="auto"/>
        <w:jc w:val="center"/>
        <w:rPr>
          <w:rFonts w:ascii="Bookman Old Style" w:hAnsi="Bookman Old Style"/>
          <w:i/>
          <w:iCs/>
          <w:sz w:val="22"/>
          <w:szCs w:val="22"/>
        </w:rPr>
      </w:pPr>
      <w:r w:rsidRPr="00FB6349">
        <w:rPr>
          <w:rFonts w:ascii="Bookman Old Style" w:hAnsi="Bookman Old Style"/>
          <w:i/>
          <w:iCs/>
          <w:sz w:val="22"/>
          <w:szCs w:val="22"/>
        </w:rPr>
        <w:t>Art</w:t>
      </w:r>
      <w:r w:rsidR="00FB6349" w:rsidRPr="00FB6349">
        <w:rPr>
          <w:rFonts w:ascii="Bookman Old Style" w:hAnsi="Bookman Old Style"/>
          <w:i/>
          <w:iCs/>
          <w:sz w:val="22"/>
          <w:szCs w:val="22"/>
        </w:rPr>
        <w:t>. 144 (Disposizioni sul Canone unico</w:t>
      </w:r>
      <w:r w:rsidR="00FB6349">
        <w:rPr>
          <w:rFonts w:ascii="Bookman Old Style" w:hAnsi="Bookman Old Style"/>
          <w:i/>
          <w:iCs/>
          <w:sz w:val="22"/>
          <w:szCs w:val="22"/>
        </w:rPr>
        <w:t xml:space="preserve"> – L. </w:t>
      </w:r>
      <w:r w:rsidR="00FB6349" w:rsidRPr="00FB6349">
        <w:rPr>
          <w:rFonts w:ascii="Bookman Old Style" w:hAnsi="Bookman Old Style"/>
          <w:i/>
          <w:iCs/>
          <w:sz w:val="22"/>
          <w:szCs w:val="22"/>
        </w:rPr>
        <w:t>160/2019)</w:t>
      </w:r>
      <w:r w:rsidR="00FB6349" w:rsidRPr="00FB6349">
        <w:rPr>
          <w:rFonts w:ascii="Times New Roman" w:hAnsi="Times New Roman" w:cs="Times New Roman"/>
          <w:i/>
          <w:iCs/>
          <w:sz w:val="22"/>
          <w:szCs w:val="22"/>
        </w:rPr>
        <w:t>   </w:t>
      </w:r>
    </w:p>
    <w:p w14:paraId="2950017A" w14:textId="2A90ACA7" w:rsidR="00B6200A" w:rsidRPr="00A20489" w:rsidRDefault="00ED2A85" w:rsidP="00301BCF">
      <w:pPr>
        <w:spacing w:after="80"/>
        <w:jc w:val="both"/>
        <w:textAlignment w:val="baseline"/>
        <w:rPr>
          <w:rFonts w:ascii="Bookman Old Style" w:eastAsia="Times New Roman" w:hAnsi="Bookman Old Style" w:cs="Segoe UI"/>
          <w:lang w:eastAsia="it-IT"/>
        </w:rPr>
      </w:pPr>
      <w:r w:rsidRPr="00A20489">
        <w:rPr>
          <w:rFonts w:ascii="Times New Roman" w:eastAsia="Times New Roman" w:hAnsi="Times New Roman" w:cs="Times New Roman"/>
          <w:color w:val="4472C4"/>
          <w:lang w:eastAsia="it-IT"/>
        </w:rPr>
        <w:t> </w:t>
      </w:r>
      <w:r w:rsidRPr="00A20489">
        <w:rPr>
          <w:rFonts w:ascii="Bookman Old Style" w:eastAsia="Times New Roman" w:hAnsi="Bookman Old Style" w:cs="Segoe UI"/>
          <w:lang w:eastAsia="it-IT"/>
        </w:rPr>
        <w:t xml:space="preserve">1. Al comma 817, dell’articolo 1 della legge 27 dicembre 2019, n. 160 è aggiunto il seguente periodo: </w:t>
      </w:r>
    </w:p>
    <w:p w14:paraId="7440A31E" w14:textId="5E7AD526" w:rsidR="00ED2A85" w:rsidRPr="00A20489" w:rsidRDefault="00ED2A85" w:rsidP="00301BCF">
      <w:pPr>
        <w:spacing w:after="80"/>
        <w:ind w:left="142"/>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“Gli enti determinano le tariffe con criteri di ragionevolezza e gradualità tenendo conto della popolazione residente, della rilevanza dei flussi turistici presenti nel comune e delle caratteristiche urbanistiche delle diverse zone del territorio comunale, nonché della ritraibilità economica e dell'impatto ambientale delle occupazioni e degli impianti oggetto del prelievo, in modo che le tariffe per categorie omogenee non eccedano di oltre il 50 per cento le tariffe applicate per i prelievi soppressi a decorrere dal 2021”.</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24DB7B17" w14:textId="77777777" w:rsidR="00ED2A85" w:rsidRPr="00A20489" w:rsidRDefault="00ED2A85" w:rsidP="00301BCF">
      <w:pPr>
        <w:spacing w:after="80"/>
        <w:jc w:val="center"/>
        <w:textAlignment w:val="baseline"/>
        <w:rPr>
          <w:rFonts w:ascii="Bookman Old Style" w:eastAsia="Times New Roman" w:hAnsi="Bookman Old Style" w:cs="Segoe UI"/>
          <w:lang w:eastAsia="it-IT"/>
        </w:rPr>
      </w:pPr>
      <w:r w:rsidRPr="00A20489">
        <w:rPr>
          <w:rFonts w:ascii="Bookman Old Style" w:eastAsia="Times New Roman" w:hAnsi="Bookman Old Style" w:cs="Segoe UI"/>
          <w:b/>
          <w:bCs/>
          <w:lang w:eastAsia="it-IT"/>
        </w:rPr>
        <w:t>Motivazione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5B326444" w14:textId="77777777" w:rsidR="00C37375" w:rsidRPr="00A20489" w:rsidRDefault="00ED2A85" w:rsidP="00301BCF">
      <w:pPr>
        <w:spacing w:after="80"/>
        <w:jc w:val="both"/>
        <w:textAlignment w:val="baseline"/>
        <w:rPr>
          <w:rFonts w:ascii="Bookman Old Style" w:eastAsia="Times New Roman" w:hAnsi="Bookman Old Style" w:cs="Times New Roman"/>
          <w:i/>
          <w:iCs/>
          <w:lang w:eastAsia="it-IT"/>
        </w:rPr>
      </w:pPr>
      <w:r w:rsidRPr="00A20489">
        <w:rPr>
          <w:rFonts w:ascii="Bookman Old Style" w:eastAsia="Times New Roman" w:hAnsi="Bookman Old Style" w:cs="Segoe UI"/>
          <w:i/>
          <w:iCs/>
          <w:lang w:eastAsia="it-IT"/>
        </w:rPr>
        <w:t xml:space="preserve">La presente proposta normativa inserisce un tetto massimo del 50% – da rapportarsi ai prelievi soppressi per categoria omogenea di prelievo – per la deliberazione delle tariffe del nuovo canone unico patrimoniale, nel rispetto della facoltà di rimodulazione dello schema tariffario già sancita dal comma 817. Inoltre, la disposizione proposta stabilisce che la variazione delle tariffe deve essere operata con criteri di ragionevolezza e gradualità tenendo conto della popolazione residente, della rilevanza dei flussi turistici presenti nel comune e delle caratteristiche urbanistiche delle diverse zone del territorio comunale, nonché della ritraibilità economica e dell'impatto ambientale delle occupazioni e degli impianti oggetto del prelievo. </w:t>
      </w:r>
      <w:r w:rsidRPr="00A20489">
        <w:rPr>
          <w:rFonts w:ascii="Times New Roman" w:eastAsia="Times New Roman" w:hAnsi="Times New Roman" w:cs="Times New Roman"/>
          <w:i/>
          <w:iCs/>
          <w:lang w:eastAsia="it-IT"/>
        </w:rPr>
        <w:t> </w:t>
      </w:r>
    </w:p>
    <w:p w14:paraId="2DE02327" w14:textId="77777777" w:rsidR="00B65012" w:rsidRPr="00A20489" w:rsidRDefault="00B65012" w:rsidP="00AE2D6A">
      <w:pPr>
        <w:spacing w:after="80"/>
        <w:jc w:val="both"/>
        <w:textAlignment w:val="baseline"/>
        <w:rPr>
          <w:rFonts w:ascii="Bookman Old Style" w:eastAsiaTheme="majorEastAsia" w:hAnsi="Bookman Old Style" w:cstheme="majorBidi"/>
          <w:b/>
          <w:bCs/>
          <w:color w:val="2F5496" w:themeColor="accent1" w:themeShade="BF"/>
        </w:rPr>
      </w:pPr>
      <w:bookmarkStart w:id="60" w:name="_Toc117260606"/>
    </w:p>
    <w:p w14:paraId="494C11F3" w14:textId="173445E6" w:rsidR="00225FF6" w:rsidRPr="00B32FB7" w:rsidRDefault="00316AFE"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61" w:name="_Toc121214293"/>
      <w:bookmarkStart w:id="62" w:name="_Toc117260607"/>
      <w:bookmarkEnd w:id="60"/>
      <w:r w:rsidRPr="00B32FB7">
        <w:rPr>
          <w:rFonts w:ascii="Bookman Old Style" w:hAnsi="Bookman Old Style"/>
          <w:b/>
          <w:bCs/>
          <w:color w:val="2F5496" w:themeColor="accent1" w:themeShade="BF"/>
          <w:sz w:val="22"/>
          <w:szCs w:val="22"/>
        </w:rPr>
        <w:t>Altre modifiche al Canone unico</w:t>
      </w:r>
      <w:r w:rsidR="00225FF6" w:rsidRPr="00B32FB7">
        <w:rPr>
          <w:rFonts w:ascii="Bookman Old Style" w:hAnsi="Bookman Old Style"/>
          <w:b/>
          <w:bCs/>
          <w:color w:val="2F5496" w:themeColor="accent1" w:themeShade="BF"/>
          <w:sz w:val="22"/>
          <w:szCs w:val="22"/>
        </w:rPr>
        <w:t xml:space="preserve"> (L. 160/2019).</w:t>
      </w:r>
      <w:bookmarkEnd w:id="61"/>
    </w:p>
    <w:bookmarkEnd w:id="62"/>
    <w:p w14:paraId="4D1E1084" w14:textId="154DCE34" w:rsidR="00273447" w:rsidRPr="00627C58" w:rsidRDefault="00273447" w:rsidP="00627C58">
      <w:pPr>
        <w:spacing w:after="80"/>
        <w:textAlignment w:val="baseline"/>
        <w:rPr>
          <w:rFonts w:ascii="Bookman Old Style" w:eastAsia="Times New Roman" w:hAnsi="Bookman Old Style" w:cs="Segoe UI"/>
          <w:i/>
          <w:iCs/>
          <w:lang w:eastAsia="it-IT"/>
        </w:rPr>
      </w:pPr>
      <w:r w:rsidRPr="00627C58">
        <w:rPr>
          <w:rFonts w:ascii="Bookman Old Style" w:eastAsia="Times New Roman" w:hAnsi="Bookman Old Style" w:cs="Segoe UI"/>
          <w:i/>
          <w:iCs/>
          <w:lang w:eastAsia="it-IT"/>
        </w:rPr>
        <w:t>Dopo l’art. 14</w:t>
      </w:r>
      <w:r w:rsidR="00FF2A80" w:rsidRPr="00627C58">
        <w:rPr>
          <w:rFonts w:ascii="Bookman Old Style" w:eastAsia="Times New Roman" w:hAnsi="Bookman Old Style" w:cs="Segoe UI"/>
          <w:i/>
          <w:iCs/>
          <w:lang w:eastAsia="it-IT"/>
        </w:rPr>
        <w:t>4</w:t>
      </w:r>
      <w:r w:rsidRPr="00627C58">
        <w:rPr>
          <w:rFonts w:ascii="Bookman Old Style" w:eastAsia="Times New Roman" w:hAnsi="Bookman Old Style" w:cs="Segoe UI"/>
          <w:i/>
          <w:iCs/>
          <w:lang w:eastAsia="it-IT"/>
        </w:rPr>
        <w:t xml:space="preserve"> aggiungere il seguente art. 14</w:t>
      </w:r>
      <w:r w:rsidR="00FF2A80" w:rsidRPr="00627C58">
        <w:rPr>
          <w:rFonts w:ascii="Bookman Old Style" w:eastAsia="Times New Roman" w:hAnsi="Bookman Old Style" w:cs="Segoe UI"/>
          <w:i/>
          <w:iCs/>
          <w:lang w:eastAsia="it-IT"/>
        </w:rPr>
        <w:t>4</w:t>
      </w:r>
      <w:r w:rsidR="00627C58">
        <w:rPr>
          <w:rFonts w:ascii="Bookman Old Style" w:eastAsia="Times New Roman" w:hAnsi="Bookman Old Style" w:cs="Segoe UI"/>
          <w:i/>
          <w:iCs/>
          <w:lang w:eastAsia="it-IT"/>
        </w:rPr>
        <w:t>-</w:t>
      </w:r>
      <w:r w:rsidRPr="00627C58">
        <w:rPr>
          <w:rFonts w:ascii="Bookman Old Style" w:eastAsia="Times New Roman" w:hAnsi="Bookman Old Style" w:cs="Segoe UI"/>
          <w:i/>
          <w:iCs/>
          <w:lang w:eastAsia="it-IT"/>
        </w:rPr>
        <w:t>bis</w:t>
      </w:r>
    </w:p>
    <w:p w14:paraId="3E6A0E76" w14:textId="7D12604B" w:rsidR="003671EA" w:rsidRPr="003671EA" w:rsidRDefault="003671EA" w:rsidP="00627C58">
      <w:pPr>
        <w:spacing w:after="80"/>
        <w:jc w:val="center"/>
        <w:textAlignment w:val="baseline"/>
        <w:rPr>
          <w:rFonts w:ascii="Bookman Old Style" w:eastAsia="Times New Roman" w:hAnsi="Bookman Old Style" w:cs="Segoe UI"/>
          <w:i/>
          <w:iCs/>
          <w:lang w:eastAsia="it-IT"/>
        </w:rPr>
      </w:pPr>
      <w:r w:rsidRPr="003671EA">
        <w:rPr>
          <w:rFonts w:ascii="Bookman Old Style" w:eastAsia="Times New Roman" w:hAnsi="Bookman Old Style" w:cs="Segoe UI"/>
          <w:i/>
          <w:iCs/>
          <w:lang w:eastAsia="it-IT"/>
        </w:rPr>
        <w:t>Art. 144-bis (Disposizioni sul Canone unico - L. 160/2019)</w:t>
      </w:r>
      <w:r w:rsidRPr="003671EA">
        <w:rPr>
          <w:rFonts w:ascii="Times New Roman" w:eastAsia="Times New Roman" w:hAnsi="Times New Roman" w:cs="Times New Roman"/>
          <w:i/>
          <w:iCs/>
          <w:lang w:eastAsia="it-IT"/>
        </w:rPr>
        <w:t>   </w:t>
      </w:r>
    </w:p>
    <w:p w14:paraId="1ED570E5" w14:textId="6727A852" w:rsidR="00767BCA" w:rsidRPr="00A20489" w:rsidRDefault="00ED2A85" w:rsidP="00301BCF">
      <w:pPr>
        <w:spacing w:after="80"/>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 xml:space="preserve">1. </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Al comma 831-</w:t>
      </w:r>
      <w:r w:rsidRPr="00A20489">
        <w:rPr>
          <w:rFonts w:ascii="Bookman Old Style" w:eastAsia="Times New Roman" w:hAnsi="Bookman Old Style" w:cs="Segoe UI"/>
          <w:i/>
          <w:iCs/>
          <w:lang w:eastAsia="it-IT"/>
        </w:rPr>
        <w:t xml:space="preserve">bis </w:t>
      </w:r>
      <w:r w:rsidRPr="00A20489">
        <w:rPr>
          <w:rFonts w:ascii="Bookman Old Style" w:eastAsia="Times New Roman" w:hAnsi="Bookman Old Style" w:cs="Segoe UI"/>
          <w:lang w:eastAsia="it-IT"/>
        </w:rPr>
        <w:t>dell’articolo 1 della legge 27 dicembre 2019, n. 160, dopo le parole “insistente sul territorio di ciascun ente” aggiungere le parole: “, con esclusivo riferimento alle aree di cui alla lettera a) del comma 819”.</w:t>
      </w:r>
    </w:p>
    <w:p w14:paraId="7D58BD5B" w14:textId="77777777" w:rsidR="00767BCA" w:rsidRPr="00A20489" w:rsidRDefault="00767BCA" w:rsidP="00301BCF">
      <w:pPr>
        <w:spacing w:after="80"/>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2. Alla legge 27 dicembre 2019, n. 160, articolo 1, sono apportate le seguenti modificazioni:</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506546CA" w14:textId="77777777" w:rsidR="00767BCA" w:rsidRPr="00A20489" w:rsidRDefault="00767BCA" w:rsidP="00301BCF">
      <w:pPr>
        <w:spacing w:after="80"/>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a) il comma 818 è sostituito dal seguente: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5859A19A" w14:textId="77777777" w:rsidR="00767BCA" w:rsidRPr="00A20489" w:rsidRDefault="00767BCA" w:rsidP="00301BCF">
      <w:pPr>
        <w:spacing w:after="80"/>
        <w:ind w:left="270"/>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“818. Nelle aree comunali si comprendono i tratti di strada situati all'interno di comuni con popolazione superiore a 10.000 abitanti”;</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01997235" w14:textId="77777777" w:rsidR="00767BCA" w:rsidRPr="00A20489" w:rsidRDefault="00767BCA"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b) il comma 837 è sostituito dal seguente: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2AC9DA49" w14:textId="77777777" w:rsidR="00D032A7" w:rsidRPr="00A20489" w:rsidRDefault="00767BCA" w:rsidP="00301BCF">
      <w:pPr>
        <w:spacing w:after="80"/>
        <w:ind w:left="27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“837. A decorrere dal 1° gennaio 2021 i comuni istituiscono, con proprio regolamento adottato ai sensi dell’articolo 52 del decreto legislativo n. 446 del 1997, il canone di concessione per l'occupazione delle aree e degli spazi appartenenti al demanio o al patrimonio indisponibile, destinati a mercati realizzati anche in strutture attrezzate. Ai fini dell'applicazione del canone, si comprendono nelle aree comunali anche i tratti di strada situati all'interno di comuni con popolazione superiore a 10.000 abitanti”</w:t>
      </w:r>
      <w:r w:rsidR="00D032A7" w:rsidRPr="00A20489">
        <w:rPr>
          <w:rFonts w:ascii="Bookman Old Style" w:eastAsia="Times New Roman" w:hAnsi="Bookman Old Style" w:cs="Segoe UI"/>
          <w:lang w:eastAsia="it-IT"/>
        </w:rPr>
        <w:t>.</w:t>
      </w:r>
    </w:p>
    <w:p w14:paraId="6FB3F58B" w14:textId="77777777" w:rsidR="00D032A7" w:rsidRPr="00A20489" w:rsidRDefault="00D032A7"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3. Al comma 820, dell’articolo 1 della legge 27 dicembre 2019, n. 160 le parole “del comma 819”.” sono sostituite con le parole: “</w:t>
      </w:r>
      <w:r w:rsidRPr="00A20489">
        <w:rPr>
          <w:rFonts w:ascii="Bookman Old Style" w:eastAsia="Times New Roman" w:hAnsi="Bookman Old Style" w:cs="Segoe UI"/>
          <w:i/>
          <w:iCs/>
          <w:lang w:eastAsia="it-IT"/>
        </w:rPr>
        <w:t>del comma 819, di esclusiva competenza comunale,”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74B93471" w14:textId="77777777" w:rsidR="00D032A7" w:rsidRPr="00A20489" w:rsidRDefault="00D032A7"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4. Al comma 819, dell’articolo 1 della legge 27 dicembre 2019, n. 160 sono apportate le seguenti modificazioni:</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001DC851" w14:textId="77777777" w:rsidR="00D032A7" w:rsidRPr="00A20489" w:rsidRDefault="00D032A7" w:rsidP="00301BCF">
      <w:pPr>
        <w:spacing w:after="80"/>
        <w:ind w:left="27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i) alla lettera a), dopo le parole “suolo pubblico” sono aggiunte le seguenti: “con esclusione dei balconi, verande, bow-windows e simili infissi di carattere stabile; l’occupazione, anche abusiva, di aree di proprietà privata sulle quali risulta regolarmente costituita, nei modi e nei termini di legge, la servitù di pubblico passaggio”;</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119A893F" w14:textId="77777777" w:rsidR="00D032A7" w:rsidRPr="00A20489" w:rsidRDefault="00D032A7" w:rsidP="00301BCF">
      <w:pPr>
        <w:spacing w:after="80"/>
        <w:ind w:left="27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ii) alla lettera b), la parola “privato” è sostituita con le seguenti: “privato; la diffusione di messaggi pubblicitari con mezzi, comunque utilizzati, ivi inclusa l’effettuazione della pubblicità visiva o acustica”.</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362BD362" w14:textId="77777777" w:rsidR="00380DAA" w:rsidRPr="00A20489" w:rsidRDefault="00380DAA"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5. Al comma 821, dell’articolo 1 della legge 27 dicembre 2019, n. 160 sono apportate le seguenti modificazioni:</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4A591444" w14:textId="77777777" w:rsidR="00380DAA" w:rsidRPr="00A20489" w:rsidRDefault="00380DAA"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a) la lettera h) è sostituita con la seguente: “h) in caso di omesso o insufficiente versamento del canone risultante dalla concessione o autorizzazione, si applica l’articolo 13 del decreto legislativo 18 dicembre 1997, n. 471”;</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566B6159" w14:textId="77777777" w:rsidR="00380DAA" w:rsidRPr="00A20489" w:rsidRDefault="00380DAA"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b) dopo la lettera h) sono aggiunte le seguenti lettere: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70827BB4" w14:textId="77777777" w:rsidR="00380DAA" w:rsidRPr="00A20489" w:rsidRDefault="00380DAA" w:rsidP="00301BCF">
      <w:pPr>
        <w:spacing w:after="80"/>
        <w:ind w:left="45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“i) per la diffusione abusiva di messaggi pubblicitari ovvero per la diffusione difforme dalle prescrizioni contenute nell’atto di concessione o autorizzazione, si applica la sanzione amministrativa con un minimo del 100 per cento ed un massimo del 200 per cento dell’ammontare del canone dovuto o dell’indennità di cui alla lettera g), ferma restando l’applicazione degli articoli 20, commi 4 e 5, e 23 del codice della strada, di cui al decreto legislativo n. 285 del 1992, ove ne ricorrano i presupposti;</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58D0A991" w14:textId="77777777" w:rsidR="00380DAA" w:rsidRPr="00A20489" w:rsidRDefault="00380DAA" w:rsidP="00301BCF">
      <w:pPr>
        <w:spacing w:after="80"/>
        <w:ind w:left="45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“j)</w:t>
      </w:r>
      <w:r w:rsidRPr="00A20489">
        <w:rPr>
          <w:rFonts w:ascii="Bookman Old Style" w:eastAsia="Times New Roman" w:hAnsi="Bookman Old Style" w:cs="Calibri"/>
          <w:lang w:eastAsia="it-IT"/>
        </w:rPr>
        <w:t xml:space="preserve"> </w:t>
      </w:r>
      <w:r w:rsidRPr="00A20489">
        <w:rPr>
          <w:rFonts w:ascii="Bookman Old Style" w:eastAsia="Times New Roman" w:hAnsi="Bookman Old Style" w:cs="Segoe UI"/>
          <w:lang w:eastAsia="it-IT"/>
        </w:rPr>
        <w:t>la sanzione di cui alla lettera i) è ridotta ad un terzo se, entro il termine per la proposizione del ricorso, interviene acquiescenza del contribuente, con pagamento del canone, se dovuto, della sanzione e degli interessi;</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5805FF35" w14:textId="77777777" w:rsidR="00380DAA" w:rsidRPr="00A20489" w:rsidRDefault="00380DAA" w:rsidP="00301BCF">
      <w:pPr>
        <w:spacing w:after="80"/>
        <w:ind w:left="45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“k) le sanzioni di cui ai commi precedenti, fatta eccezione per quelle relative alle violazioni del codice della strada, sono irrogate mediante l’accertamento esecutivo di cui all’articolo 1, comma 792 della legge n. 160 del 2019;</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791C84CB" w14:textId="77777777" w:rsidR="00380DAA" w:rsidRPr="00A20489" w:rsidRDefault="00380DAA" w:rsidP="00301BCF">
      <w:pPr>
        <w:spacing w:after="80"/>
        <w:ind w:left="45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lang w:eastAsia="it-IT"/>
        </w:rPr>
        <w:t>l) l’ente locale può disporre con proprio regolamento l’applicazione di sanzioni ridotte a fronte della regolarizzazione spontanea o sollecitata del mancato pagamento del canone.”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3FBA0C65" w14:textId="77777777" w:rsidR="00ED2A85" w:rsidRPr="00A20489" w:rsidRDefault="00ED2A85" w:rsidP="00301BCF">
      <w:pPr>
        <w:spacing w:after="80"/>
        <w:jc w:val="center"/>
        <w:textAlignment w:val="baseline"/>
        <w:rPr>
          <w:rFonts w:ascii="Bookman Old Style" w:eastAsia="Times New Roman" w:hAnsi="Bookman Old Style" w:cs="Segoe UI"/>
          <w:lang w:eastAsia="it-IT"/>
        </w:rPr>
      </w:pPr>
      <w:r w:rsidRPr="00A20489">
        <w:rPr>
          <w:rFonts w:ascii="Bookman Old Style" w:eastAsia="Times New Roman" w:hAnsi="Bookman Old Style" w:cs="Segoe UI"/>
          <w:b/>
          <w:bCs/>
          <w:lang w:eastAsia="it-IT"/>
        </w:rPr>
        <w:t>Motivazione</w:t>
      </w:r>
      <w:r w:rsidRPr="00A20489">
        <w:rPr>
          <w:rFonts w:ascii="Times New Roman" w:eastAsia="Times New Roman" w:hAnsi="Times New Roman" w:cs="Times New Roman"/>
          <w:b/>
          <w:bCs/>
          <w:lang w:eastAsia="it-IT"/>
        </w:rPr>
        <w:t> </w:t>
      </w:r>
      <w:r w:rsidRPr="00A20489">
        <w:rPr>
          <w:rFonts w:ascii="Bookman Old Style" w:eastAsia="Times New Roman" w:hAnsi="Bookman Old Style" w:cs="Segoe UI"/>
          <w:lang w:eastAsia="it-IT"/>
        </w:rPr>
        <w:t> </w:t>
      </w:r>
    </w:p>
    <w:p w14:paraId="5F7A57DB" w14:textId="6FDD2E6E" w:rsidR="00ED2A85" w:rsidRPr="00A20489" w:rsidRDefault="00ED2A85" w:rsidP="00301BCF">
      <w:pPr>
        <w:spacing w:after="80"/>
        <w:jc w:val="both"/>
        <w:textAlignment w:val="baseline"/>
        <w:rPr>
          <w:rFonts w:ascii="Bookman Old Style" w:eastAsia="Times New Roman" w:hAnsi="Bookman Old Style" w:cs="Segoe UI"/>
          <w:i/>
          <w:iCs/>
          <w:lang w:eastAsia="it-IT"/>
        </w:rPr>
      </w:pPr>
      <w:r w:rsidRPr="00A20489">
        <w:rPr>
          <w:rFonts w:ascii="Bookman Old Style" w:eastAsia="Times New Roman" w:hAnsi="Bookman Old Style" w:cs="Segoe UI"/>
          <w:i/>
          <w:iCs/>
          <w:lang w:eastAsia="it-IT"/>
        </w:rPr>
        <w:t xml:space="preserve">La proposta </w:t>
      </w:r>
      <w:r w:rsidR="00225FF6" w:rsidRPr="00A20489">
        <w:rPr>
          <w:rFonts w:ascii="Bookman Old Style" w:eastAsia="Times New Roman" w:hAnsi="Bookman Old Style" w:cs="Segoe UI"/>
          <w:i/>
          <w:iCs/>
          <w:lang w:eastAsia="it-IT"/>
        </w:rPr>
        <w:t xml:space="preserve">di cui al </w:t>
      </w:r>
      <w:r w:rsidR="00225FF6" w:rsidRPr="00A20489">
        <w:rPr>
          <w:rFonts w:ascii="Bookman Old Style" w:eastAsia="Times New Roman" w:hAnsi="Bookman Old Style" w:cs="Segoe UI"/>
          <w:b/>
          <w:bCs/>
          <w:i/>
          <w:iCs/>
          <w:lang w:eastAsia="it-IT"/>
        </w:rPr>
        <w:t>comma 1</w:t>
      </w:r>
      <w:r w:rsidRPr="00A20489">
        <w:rPr>
          <w:rFonts w:ascii="Bookman Old Style" w:eastAsia="Times New Roman" w:hAnsi="Bookman Old Style" w:cs="Segoe UI"/>
          <w:i/>
          <w:iCs/>
          <w:lang w:eastAsia="it-IT"/>
        </w:rPr>
        <w:t xml:space="preserve"> è necessaria a circoscrivere il campo di applicazione del canone forfetario per le infrastrutture di comunicazione elettronica, limitando la tariffa fissa prevista dal co.831-bis solo agli impianti insistenti sul patrimonio indisponibile/demanio dei Comuni, così come previsto dal precedente comma 819 che individua</w:t>
      </w:r>
      <w:r w:rsidRPr="00A20489">
        <w:rPr>
          <w:rFonts w:ascii="Times New Roman" w:eastAsia="Times New Roman" w:hAnsi="Times New Roman" w:cs="Times New Roman"/>
          <w:i/>
          <w:iCs/>
          <w:lang w:eastAsia="it-IT"/>
        </w:rPr>
        <w:t> </w:t>
      </w:r>
      <w:r w:rsidRPr="00A20489">
        <w:rPr>
          <w:rFonts w:ascii="Bookman Old Style" w:eastAsia="Times New Roman" w:hAnsi="Bookman Old Style" w:cs="Segoe UI"/>
          <w:i/>
          <w:iCs/>
          <w:lang w:eastAsia="it-IT"/>
        </w:rPr>
        <w:t xml:space="preserve"> il presupposto impositivo del canone unico “nell'occupazione, anche abusiva, delle aree appartenenti al </w:t>
      </w:r>
      <w:r w:rsidRPr="00A20489">
        <w:rPr>
          <w:rFonts w:ascii="Bookman Old Style" w:eastAsia="Times New Roman" w:hAnsi="Bookman Old Style" w:cs="Segoe UI"/>
          <w:b/>
          <w:bCs/>
          <w:i/>
          <w:iCs/>
          <w:lang w:eastAsia="it-IT"/>
        </w:rPr>
        <w:t>demanio o al patrimonio indisponibile</w:t>
      </w:r>
      <w:r w:rsidRPr="00A20489">
        <w:rPr>
          <w:rFonts w:ascii="Bookman Old Style" w:eastAsia="Times New Roman" w:hAnsi="Bookman Old Style" w:cs="Segoe UI"/>
          <w:i/>
          <w:iCs/>
          <w:lang w:eastAsia="it-IT"/>
        </w:rPr>
        <w:t xml:space="preserve"> degli enti e degli spazi soprastanti o sottostanti il suolo pubblico”. La disciplina del cd. “canone antenne” di cui al co. 831-bis, inserita in un momento successivo rispetto all’originaria disciplina del canone unico, presenta caratteristiche di specialità che mal si coordinano nel quadro della già speciale disciplina del canone unico; pertanto</w:t>
      </w:r>
      <w:r w:rsidR="00D032A7" w:rsidRPr="00A20489">
        <w:rPr>
          <w:rFonts w:ascii="Bookman Old Style" w:eastAsia="Times New Roman" w:hAnsi="Bookman Old Style" w:cs="Segoe UI"/>
          <w:i/>
          <w:iCs/>
          <w:lang w:eastAsia="it-IT"/>
        </w:rPr>
        <w:t>,</w:t>
      </w:r>
      <w:r w:rsidRPr="00A20489">
        <w:rPr>
          <w:rFonts w:ascii="Bookman Old Style" w:eastAsia="Times New Roman" w:hAnsi="Bookman Old Style" w:cs="Segoe UI"/>
          <w:i/>
          <w:iCs/>
          <w:lang w:eastAsia="it-IT"/>
        </w:rPr>
        <w:t xml:space="preserve"> le due disposizioni necessitano di un idoneo coordinamento.</w:t>
      </w:r>
      <w:r w:rsidRPr="00A20489">
        <w:rPr>
          <w:rFonts w:ascii="Times New Roman" w:eastAsia="Times New Roman" w:hAnsi="Times New Roman" w:cs="Times New Roman"/>
          <w:i/>
          <w:iCs/>
          <w:lang w:eastAsia="it-IT"/>
        </w:rPr>
        <w:t> </w:t>
      </w:r>
      <w:r w:rsidRPr="00A20489">
        <w:rPr>
          <w:rFonts w:ascii="Bookman Old Style" w:eastAsia="Times New Roman" w:hAnsi="Bookman Old Style" w:cs="Segoe UI"/>
          <w:i/>
          <w:iCs/>
          <w:lang w:eastAsia="it-IT"/>
        </w:rPr>
        <w:t> </w:t>
      </w:r>
    </w:p>
    <w:p w14:paraId="134B2A4D" w14:textId="77777777" w:rsidR="00D032A7" w:rsidRPr="00A20489" w:rsidRDefault="00D032A7"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i/>
          <w:iCs/>
          <w:lang w:eastAsia="it-IT"/>
        </w:rPr>
        <w:t xml:space="preserve">Il </w:t>
      </w:r>
      <w:r w:rsidRPr="00A20489">
        <w:rPr>
          <w:rFonts w:ascii="Bookman Old Style" w:eastAsia="Times New Roman" w:hAnsi="Bookman Old Style" w:cs="Segoe UI"/>
          <w:b/>
          <w:bCs/>
          <w:i/>
          <w:iCs/>
          <w:lang w:eastAsia="it-IT"/>
        </w:rPr>
        <w:t>comma 2</w:t>
      </w:r>
      <w:r w:rsidRPr="00A20489">
        <w:rPr>
          <w:rFonts w:ascii="Bookman Old Style" w:eastAsia="Times New Roman" w:hAnsi="Bookman Old Style" w:cs="Segoe UI"/>
          <w:i/>
          <w:iCs/>
          <w:lang w:eastAsia="it-IT"/>
        </w:rPr>
        <w:t xml:space="preserve"> punta a risolvere il problema della diversa formulazione prevista, nell’ambito della vigente normativa, tra i commi 818 e 837, che determina ambiguità in ordine all’individuazione del soggetto attivo del canone patrimoniale tra Comuni, Province e Città metropolitane.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5CC9178F" w14:textId="77777777" w:rsidR="00D032A7" w:rsidRPr="00A20489" w:rsidRDefault="00D032A7"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i/>
          <w:iCs/>
          <w:lang w:eastAsia="it-IT"/>
        </w:rPr>
        <w:t xml:space="preserve">Il </w:t>
      </w:r>
      <w:r w:rsidRPr="00A20489">
        <w:rPr>
          <w:rFonts w:ascii="Bookman Old Style" w:eastAsia="Times New Roman" w:hAnsi="Bookman Old Style" w:cs="Segoe UI"/>
          <w:b/>
          <w:bCs/>
          <w:i/>
          <w:iCs/>
          <w:lang w:eastAsia="it-IT"/>
        </w:rPr>
        <w:t>comma 3</w:t>
      </w:r>
      <w:r w:rsidRPr="00A20489">
        <w:rPr>
          <w:rFonts w:ascii="Bookman Old Style" w:eastAsia="Times New Roman" w:hAnsi="Bookman Old Style" w:cs="Segoe UI"/>
          <w:i/>
          <w:iCs/>
          <w:lang w:eastAsia="it-IT"/>
        </w:rPr>
        <w:t xml:space="preserve"> chiarisce che la componente del canone relativa alla diffusione di messaggi pubblicitari è di sola competenza comunale, in linea con quanto da sempre previsto con il d.lgs. n. 507 del 1993 in materia di prelievo sulla pubblicità locale. Si evitano, quindi, eventuali problemi di duplicazione del canone, in relazione a possibili concorrenze di competenze tra Comuni, Città metropolitane e Province.</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r w:rsidRPr="00A20489">
        <w:rPr>
          <w:rFonts w:ascii="Times New Roman" w:eastAsia="Times New Roman" w:hAnsi="Times New Roman" w:cs="Times New Roman"/>
          <w:b/>
          <w:bCs/>
          <w:lang w:eastAsia="it-IT"/>
        </w:rPr>
        <w:t> </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42A6F92F" w14:textId="77777777" w:rsidR="00E21F5A" w:rsidRPr="00A20489" w:rsidRDefault="00E21F5A"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i/>
          <w:iCs/>
          <w:lang w:eastAsia="it-IT"/>
        </w:rPr>
        <w:t xml:space="preserve">Il </w:t>
      </w:r>
      <w:r w:rsidRPr="00A20489">
        <w:rPr>
          <w:rFonts w:ascii="Bookman Old Style" w:eastAsia="Times New Roman" w:hAnsi="Bookman Old Style" w:cs="Segoe UI"/>
          <w:b/>
          <w:bCs/>
          <w:i/>
          <w:iCs/>
          <w:lang w:eastAsia="it-IT"/>
        </w:rPr>
        <w:t xml:space="preserve">comma 4 </w:t>
      </w:r>
      <w:r w:rsidRPr="00A20489">
        <w:rPr>
          <w:rFonts w:ascii="Bookman Old Style" w:eastAsia="Times New Roman" w:hAnsi="Bookman Old Style" w:cs="Segoe UI"/>
          <w:i/>
          <w:iCs/>
          <w:lang w:eastAsia="it-IT"/>
        </w:rPr>
        <w:t>chiarisce alcuni aspetti particolari dei presupposti applicativi del Canone unico, con la finalità di mettere al riparo da interpretazioni non univoche dell’attuale testo di legge.</w:t>
      </w:r>
      <w:r w:rsidRPr="00A20489">
        <w:rPr>
          <w:rFonts w:ascii="Times New Roman" w:eastAsia="Times New Roman" w:hAnsi="Times New Roman" w:cs="Times New Roman"/>
          <w:i/>
          <w:iCs/>
          <w:lang w:eastAsia="it-IT"/>
        </w:rPr>
        <w:t> </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2D7075D2" w14:textId="77777777" w:rsidR="00774845" w:rsidRPr="00A20489" w:rsidRDefault="00774845" w:rsidP="00301BCF">
      <w:pPr>
        <w:spacing w:after="80"/>
        <w:jc w:val="both"/>
        <w:textAlignment w:val="baseline"/>
        <w:rPr>
          <w:rFonts w:ascii="Bookman Old Style" w:eastAsia="Times New Roman" w:hAnsi="Bookman Old Style" w:cs="Segoe UI"/>
          <w:lang w:eastAsia="it-IT"/>
        </w:rPr>
      </w:pPr>
      <w:r w:rsidRPr="00A20489">
        <w:rPr>
          <w:rFonts w:ascii="Bookman Old Style" w:eastAsia="Times New Roman" w:hAnsi="Bookman Old Style" w:cs="Segoe UI"/>
          <w:i/>
          <w:iCs/>
          <w:lang w:eastAsia="it-IT"/>
        </w:rPr>
        <w:t xml:space="preserve">Il </w:t>
      </w:r>
      <w:r w:rsidRPr="00A20489">
        <w:rPr>
          <w:rFonts w:ascii="Bookman Old Style" w:eastAsia="Times New Roman" w:hAnsi="Bookman Old Style" w:cs="Segoe UI"/>
          <w:b/>
          <w:bCs/>
          <w:i/>
          <w:iCs/>
          <w:lang w:eastAsia="it-IT"/>
        </w:rPr>
        <w:t>comma 5</w:t>
      </w:r>
      <w:r w:rsidRPr="00A20489">
        <w:rPr>
          <w:rFonts w:ascii="Bookman Old Style" w:eastAsia="Times New Roman" w:hAnsi="Bookman Old Style" w:cs="Segoe UI"/>
          <w:i/>
          <w:iCs/>
          <w:lang w:eastAsia="it-IT"/>
        </w:rPr>
        <w:t xml:space="preserve"> riprende ai fini della modulazione del sistema sanzionatorio, alcuni dei criteri di riferimento previsti in ambito tributario.</w:t>
      </w:r>
      <w:r w:rsidRPr="00A20489">
        <w:rPr>
          <w:rFonts w:ascii="Times New Roman" w:eastAsia="Times New Roman" w:hAnsi="Times New Roman" w:cs="Times New Roman"/>
          <w:lang w:eastAsia="it-IT"/>
        </w:rPr>
        <w:t>  </w:t>
      </w:r>
      <w:r w:rsidRPr="00A20489">
        <w:rPr>
          <w:rFonts w:ascii="Bookman Old Style" w:eastAsia="Times New Roman" w:hAnsi="Bookman Old Style" w:cs="Segoe UI"/>
          <w:lang w:eastAsia="it-IT"/>
        </w:rPr>
        <w:t> </w:t>
      </w:r>
    </w:p>
    <w:p w14:paraId="0896B558" w14:textId="3D9D4097" w:rsidR="0040675C" w:rsidRDefault="0040675C" w:rsidP="00301BCF">
      <w:pPr>
        <w:spacing w:after="80"/>
        <w:rPr>
          <w:rFonts w:ascii="Bookman Old Style" w:eastAsiaTheme="majorEastAsia" w:hAnsi="Bookman Old Style" w:cstheme="majorBidi"/>
          <w:b/>
          <w:bCs/>
          <w:color w:val="2F5496" w:themeColor="accent1" w:themeShade="BF"/>
        </w:rPr>
      </w:pPr>
      <w:bookmarkStart w:id="63" w:name="_Toc112768633"/>
      <w:bookmarkStart w:id="64" w:name="_Toc117251343"/>
    </w:p>
    <w:p w14:paraId="147CD886" w14:textId="77777777" w:rsidR="007A2F04" w:rsidRDefault="007A2F04" w:rsidP="00301BCF">
      <w:pPr>
        <w:spacing w:after="80"/>
        <w:rPr>
          <w:rFonts w:ascii="Bookman Old Style" w:eastAsiaTheme="majorEastAsia" w:hAnsi="Bookman Old Style" w:cstheme="majorBidi"/>
          <w:b/>
          <w:bCs/>
          <w:color w:val="2F5496" w:themeColor="accent1" w:themeShade="BF"/>
        </w:rPr>
      </w:pPr>
    </w:p>
    <w:p w14:paraId="054D908A" w14:textId="35FEBC9D" w:rsidR="00750FDB" w:rsidRPr="00A20489" w:rsidRDefault="00D4360A" w:rsidP="00301BCF">
      <w:pPr>
        <w:pStyle w:val="Titolo1"/>
        <w:spacing w:before="0" w:after="80"/>
        <w:rPr>
          <w:rFonts w:ascii="Bookman Old Style" w:hAnsi="Bookman Old Style"/>
          <w:b/>
          <w:bCs/>
          <w:sz w:val="22"/>
          <w:szCs w:val="22"/>
        </w:rPr>
      </w:pPr>
      <w:bookmarkStart w:id="65" w:name="_Toc121214294"/>
      <w:r w:rsidRPr="00A20489">
        <w:rPr>
          <w:rFonts w:ascii="Bookman Old Style" w:hAnsi="Bookman Old Style"/>
          <w:b/>
          <w:bCs/>
          <w:sz w:val="22"/>
          <w:szCs w:val="22"/>
        </w:rPr>
        <w:t>PERSONALE</w:t>
      </w:r>
      <w:bookmarkEnd w:id="65"/>
    </w:p>
    <w:p w14:paraId="7A8A1332" w14:textId="0EC61537" w:rsidR="004F30BC" w:rsidRPr="00B32FB7" w:rsidRDefault="004F30B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66" w:name="_Toc121214295"/>
      <w:bookmarkEnd w:id="63"/>
      <w:bookmarkEnd w:id="64"/>
      <w:r w:rsidRPr="00B32FB7">
        <w:rPr>
          <w:rFonts w:ascii="Bookman Old Style" w:hAnsi="Bookman Old Style"/>
          <w:b/>
          <w:bCs/>
          <w:color w:val="2F5496" w:themeColor="accent1" w:themeShade="BF"/>
          <w:sz w:val="22"/>
          <w:szCs w:val="22"/>
        </w:rPr>
        <w:t>Assunzioni a tempo determinato per l’attuazione dei progetti del PNRR</w:t>
      </w:r>
      <w:bookmarkEnd w:id="66"/>
    </w:p>
    <w:p w14:paraId="62103F11" w14:textId="2EC3A75C" w:rsidR="00263832" w:rsidRPr="009A1F6F" w:rsidRDefault="00263832" w:rsidP="00513A0F">
      <w:pPr>
        <w:spacing w:after="80"/>
        <w:rPr>
          <w:rFonts w:ascii="Bookman Old Style" w:hAnsi="Bookman Old Style"/>
          <w:i/>
          <w:iCs/>
        </w:rPr>
      </w:pPr>
      <w:r w:rsidRPr="009A1F6F">
        <w:rPr>
          <w:rFonts w:ascii="Bookman Old Style" w:hAnsi="Bookman Old Style"/>
          <w:i/>
          <w:iCs/>
        </w:rPr>
        <w:t>Dopo l’art. 6</w:t>
      </w:r>
      <w:r w:rsidR="00C65393" w:rsidRPr="009A1F6F">
        <w:rPr>
          <w:rFonts w:ascii="Bookman Old Style" w:hAnsi="Bookman Old Style"/>
          <w:i/>
          <w:iCs/>
        </w:rPr>
        <w:t>4</w:t>
      </w:r>
      <w:r w:rsidRPr="009A1F6F">
        <w:rPr>
          <w:rFonts w:ascii="Bookman Old Style" w:hAnsi="Bookman Old Style"/>
          <w:i/>
          <w:iCs/>
        </w:rPr>
        <w:t xml:space="preserve"> aggiungere il seguente art. 6</w:t>
      </w:r>
      <w:r w:rsidR="00C65393" w:rsidRPr="009A1F6F">
        <w:rPr>
          <w:rFonts w:ascii="Bookman Old Style" w:hAnsi="Bookman Old Style"/>
          <w:i/>
          <w:iCs/>
        </w:rPr>
        <w:t>4</w:t>
      </w:r>
      <w:r w:rsidRPr="009A1F6F">
        <w:rPr>
          <w:rFonts w:ascii="Bookman Old Style" w:hAnsi="Bookman Old Style"/>
          <w:i/>
          <w:iCs/>
        </w:rPr>
        <w:t xml:space="preserve"> bis</w:t>
      </w:r>
    </w:p>
    <w:p w14:paraId="740AE267" w14:textId="6B7B075D" w:rsidR="00513A0F" w:rsidRDefault="00CC63AB" w:rsidP="001B737E">
      <w:pPr>
        <w:spacing w:after="80"/>
        <w:jc w:val="center"/>
        <w:rPr>
          <w:rFonts w:ascii="Bookman Old Style" w:hAnsi="Bookman Old Style"/>
          <w:i/>
          <w:iCs/>
        </w:rPr>
      </w:pPr>
      <w:r>
        <w:rPr>
          <w:rFonts w:ascii="Bookman Old Style" w:hAnsi="Bookman Old Style"/>
          <w:i/>
          <w:iCs/>
        </w:rPr>
        <w:t>A</w:t>
      </w:r>
      <w:r w:rsidRPr="009A1F6F">
        <w:rPr>
          <w:rFonts w:ascii="Bookman Old Style" w:hAnsi="Bookman Old Style"/>
          <w:i/>
          <w:iCs/>
        </w:rPr>
        <w:t>rt. 64</w:t>
      </w:r>
      <w:r w:rsidR="00513A0F">
        <w:rPr>
          <w:rFonts w:ascii="Bookman Old Style" w:hAnsi="Bookman Old Style"/>
          <w:i/>
          <w:iCs/>
        </w:rPr>
        <w:t>-bis</w:t>
      </w:r>
      <w:r w:rsidRPr="009A1F6F">
        <w:rPr>
          <w:rFonts w:ascii="Bookman Old Style" w:hAnsi="Bookman Old Style"/>
          <w:i/>
          <w:iCs/>
        </w:rPr>
        <w:t xml:space="preserve"> </w:t>
      </w:r>
      <w:r>
        <w:rPr>
          <w:rFonts w:ascii="Bookman Old Style" w:hAnsi="Bookman Old Style"/>
          <w:i/>
          <w:iCs/>
        </w:rPr>
        <w:t xml:space="preserve">(Assunzioni a tempo determinato per gli enti locali attuatori di opere </w:t>
      </w:r>
      <w:r w:rsidR="00513A0F">
        <w:rPr>
          <w:rFonts w:ascii="Bookman Old Style" w:hAnsi="Bookman Old Style"/>
          <w:i/>
          <w:iCs/>
        </w:rPr>
        <w:t>PNRR</w:t>
      </w:r>
    </w:p>
    <w:p w14:paraId="1E0F54A9" w14:textId="00F63543" w:rsidR="004F30BC" w:rsidRPr="00513A0F" w:rsidRDefault="004F30BC" w:rsidP="00513A0F">
      <w:pPr>
        <w:spacing w:after="80"/>
        <w:jc w:val="both"/>
        <w:rPr>
          <w:rFonts w:ascii="Bookman Old Style" w:hAnsi="Bookman Old Style"/>
        </w:rPr>
      </w:pPr>
      <w:r w:rsidRPr="00513A0F">
        <w:rPr>
          <w:rFonts w:ascii="Bookman Old Style" w:hAnsi="Bookman Old Style"/>
        </w:rPr>
        <w:t>All’articolo 1, comma 15, del decreto-legge 9 giugno 2021, n. 80, convertito in legge 6 agosto 2021, n. 113, è aggiunto infine il seguente periodo: “Per gli enti locali soggetti attuatori di interventi a valere sulle risorse del PNRR la percentuale di cui all’articolo 110 del decreto legislativo 18 agosto 2000, n. 267 è fissata al 50 per cento”.</w:t>
      </w:r>
    </w:p>
    <w:p w14:paraId="358D4C10" w14:textId="77777777" w:rsidR="004F30BC" w:rsidRPr="00A20489" w:rsidRDefault="004F30BC" w:rsidP="00513A0F">
      <w:pPr>
        <w:spacing w:after="80"/>
        <w:jc w:val="center"/>
        <w:rPr>
          <w:rFonts w:ascii="Bookman Old Style" w:hAnsi="Bookman Old Style"/>
          <w:b/>
          <w:bCs/>
        </w:rPr>
      </w:pPr>
      <w:r w:rsidRPr="00A20489">
        <w:rPr>
          <w:rFonts w:ascii="Bookman Old Style" w:hAnsi="Bookman Old Style"/>
          <w:b/>
          <w:bCs/>
        </w:rPr>
        <w:t>Motivazione</w:t>
      </w:r>
    </w:p>
    <w:p w14:paraId="08ABC939" w14:textId="565E27E6" w:rsidR="004F30BC" w:rsidRPr="00A20489" w:rsidRDefault="004F30BC" w:rsidP="00513A0F">
      <w:pPr>
        <w:spacing w:after="80"/>
        <w:jc w:val="both"/>
        <w:rPr>
          <w:rFonts w:ascii="Bookman Old Style" w:hAnsi="Bookman Old Style"/>
          <w:i/>
          <w:iCs/>
        </w:rPr>
      </w:pPr>
      <w:r w:rsidRPr="00A20489">
        <w:rPr>
          <w:rFonts w:ascii="Bookman Old Style" w:hAnsi="Bookman Old Style"/>
          <w:i/>
          <w:iCs/>
        </w:rPr>
        <w:t>L’emendamento è finalizzato ad ampliare la percentuale di cui all’articolo 110 del decreto legislativo 18 agosto 2000, n. 267</w:t>
      </w:r>
      <w:r w:rsidR="00901A9A">
        <w:rPr>
          <w:rFonts w:ascii="Bookman Old Style" w:hAnsi="Bookman Old Style"/>
          <w:i/>
          <w:iCs/>
        </w:rPr>
        <w:t xml:space="preserve"> </w:t>
      </w:r>
      <w:r w:rsidRPr="00A20489">
        <w:rPr>
          <w:rFonts w:ascii="Bookman Old Style" w:hAnsi="Bookman Old Style"/>
          <w:i/>
          <w:iCs/>
        </w:rPr>
        <w:t>per consentire agli enti locali soggetti attuatori degli investimenti a valere su risorse PNRR di poterle realizzare nei tempi previsti. Identica disposizione è prevista dal comma 15 dell’art. 1 del d.l. 80/2021 per le amministrazioni centrali.</w:t>
      </w:r>
    </w:p>
    <w:p w14:paraId="0C723D2A" w14:textId="576F05D6" w:rsidR="00CD5B83" w:rsidRDefault="00CD5B83">
      <w:pPr>
        <w:rPr>
          <w:rFonts w:ascii="Bookman Old Style" w:eastAsiaTheme="majorEastAsia" w:hAnsi="Bookman Old Style" w:cstheme="majorBidi"/>
          <w:b/>
          <w:bCs/>
          <w:color w:val="2F5496" w:themeColor="accent1" w:themeShade="BF"/>
        </w:rPr>
      </w:pPr>
    </w:p>
    <w:p w14:paraId="32655AC3" w14:textId="6C7CD7DD" w:rsidR="00BE424E" w:rsidRPr="00B32FB7" w:rsidRDefault="007D721A"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67" w:name="_Toc121214296"/>
      <w:r w:rsidRPr="00B32FB7">
        <w:rPr>
          <w:rFonts w:ascii="Bookman Old Style" w:hAnsi="Bookman Old Style"/>
          <w:b/>
          <w:bCs/>
          <w:color w:val="2F5496" w:themeColor="accent1" w:themeShade="BF"/>
          <w:sz w:val="22"/>
          <w:szCs w:val="22"/>
        </w:rPr>
        <w:t>Deroghe incarichi dirigenziali a tempo determinato enti in dissesto o in situazioni strutturalmente deficitarie</w:t>
      </w:r>
      <w:bookmarkEnd w:id="67"/>
      <w:r w:rsidR="00FA62F1" w:rsidRPr="00B32FB7">
        <w:rPr>
          <w:rFonts w:ascii="Bookman Old Style" w:hAnsi="Bookman Old Style"/>
          <w:b/>
          <w:bCs/>
          <w:color w:val="2F5496" w:themeColor="accent1" w:themeShade="BF"/>
          <w:sz w:val="22"/>
          <w:szCs w:val="22"/>
        </w:rPr>
        <w:t xml:space="preserve"> </w:t>
      </w:r>
    </w:p>
    <w:p w14:paraId="630DDA13" w14:textId="77777777" w:rsidR="00C65393" w:rsidRPr="00A20489" w:rsidRDefault="00C65393" w:rsidP="00C65393">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64 aggiungere il seguente art. 64 bis</w:t>
      </w:r>
    </w:p>
    <w:p w14:paraId="3098CF89" w14:textId="7DF55B8B" w:rsidR="001B737E" w:rsidRDefault="001B737E" w:rsidP="001B737E">
      <w:pPr>
        <w:spacing w:after="80"/>
        <w:jc w:val="center"/>
        <w:rPr>
          <w:rFonts w:ascii="Bookman Old Style" w:hAnsi="Bookman Old Style"/>
          <w:i/>
          <w:iCs/>
        </w:rPr>
      </w:pPr>
      <w:r>
        <w:rPr>
          <w:rFonts w:ascii="Bookman Old Style" w:hAnsi="Bookman Old Style"/>
          <w:i/>
          <w:iCs/>
        </w:rPr>
        <w:t>A</w:t>
      </w:r>
      <w:r w:rsidRPr="009A1F6F">
        <w:rPr>
          <w:rFonts w:ascii="Bookman Old Style" w:hAnsi="Bookman Old Style"/>
          <w:i/>
          <w:iCs/>
        </w:rPr>
        <w:t>rt. 64</w:t>
      </w:r>
      <w:r>
        <w:rPr>
          <w:rFonts w:ascii="Bookman Old Style" w:hAnsi="Bookman Old Style"/>
          <w:i/>
          <w:iCs/>
        </w:rPr>
        <w:t>-bis</w:t>
      </w:r>
      <w:r w:rsidRPr="009A1F6F">
        <w:rPr>
          <w:rFonts w:ascii="Bookman Old Style" w:hAnsi="Bookman Old Style"/>
          <w:i/>
          <w:iCs/>
        </w:rPr>
        <w:t xml:space="preserve"> </w:t>
      </w:r>
      <w:r>
        <w:rPr>
          <w:rFonts w:ascii="Bookman Old Style" w:hAnsi="Bookman Old Style"/>
          <w:i/>
          <w:iCs/>
        </w:rPr>
        <w:t>(Assunzioni incarichi per gli enti locali in crisi finanziaria)</w:t>
      </w:r>
    </w:p>
    <w:p w14:paraId="3750F1E0" w14:textId="7D3670EE" w:rsidR="007D721A" w:rsidRPr="00A20489" w:rsidRDefault="00BB174D" w:rsidP="00301BCF">
      <w:pPr>
        <w:spacing w:after="80"/>
        <w:jc w:val="both"/>
        <w:rPr>
          <w:rFonts w:ascii="Bookman Old Style" w:hAnsi="Bookman Old Style"/>
        </w:rPr>
      </w:pPr>
      <w:r w:rsidRPr="00A20489">
        <w:rPr>
          <w:rFonts w:ascii="Bookman Old Style" w:hAnsi="Bookman Old Style"/>
        </w:rPr>
        <w:t xml:space="preserve">1. </w:t>
      </w:r>
      <w:r w:rsidR="007D721A" w:rsidRPr="00A20489">
        <w:rPr>
          <w:rFonts w:ascii="Bookman Old Style" w:hAnsi="Bookman Old Style"/>
        </w:rPr>
        <w:t>Per gli enti locali per i quali sia stato dichiarato il dissesto, o che si trovino nelle situazioni strutturalmente deficitarie, al fine di assicurare continuità all’azione amministrativa per la realizzazione degli investimenti a valere sulle risorse del PNRR, dei programmi cofinanziati dall’Unione europea e dei programmi operativi complementari alla programmazione comunitaria 2014/2020 e 2021/2027, fino al 31 dicembre 2026 non si applica</w:t>
      </w:r>
      <w:r w:rsidR="00FE032E" w:rsidRPr="00A20489">
        <w:rPr>
          <w:rFonts w:ascii="Bookman Old Style" w:hAnsi="Bookman Old Style"/>
        </w:rPr>
        <w:t>no</w:t>
      </w:r>
      <w:r w:rsidR="007D721A" w:rsidRPr="00A20489">
        <w:rPr>
          <w:rFonts w:ascii="Bookman Old Style" w:hAnsi="Bookman Old Style"/>
        </w:rPr>
        <w:t xml:space="preserve"> il comma 4 dell’articolo 110 del </w:t>
      </w:r>
      <w:r w:rsidR="002B1076" w:rsidRPr="00A20489">
        <w:rPr>
          <w:rFonts w:ascii="Bookman Old Style" w:hAnsi="Bookman Old Style"/>
        </w:rPr>
        <w:t>decreto legislativo 18 agosto 2000</w:t>
      </w:r>
      <w:r w:rsidR="00FE032E" w:rsidRPr="00A20489">
        <w:rPr>
          <w:rFonts w:ascii="Bookman Old Style" w:hAnsi="Bookman Old Style"/>
        </w:rPr>
        <w:t xml:space="preserve">, n. </w:t>
      </w:r>
      <w:r w:rsidR="007D721A" w:rsidRPr="00A20489">
        <w:rPr>
          <w:rFonts w:ascii="Bookman Old Style" w:hAnsi="Bookman Old Style"/>
        </w:rPr>
        <w:t>267</w:t>
      </w:r>
      <w:r w:rsidR="00FE032E" w:rsidRPr="00A20489">
        <w:rPr>
          <w:rFonts w:ascii="Bookman Old Style" w:hAnsi="Bookman Old Style"/>
        </w:rPr>
        <w:t xml:space="preserve"> </w:t>
      </w:r>
      <w:r w:rsidR="007D721A" w:rsidRPr="00A20489">
        <w:rPr>
          <w:rFonts w:ascii="Bookman Old Style" w:hAnsi="Bookman Old Style"/>
        </w:rPr>
        <w:t xml:space="preserve">e il divieto di assunzione dei collaboratori di cui all’art. 90 dello stesso </w:t>
      </w:r>
      <w:r w:rsidR="00FE032E" w:rsidRPr="00A20489">
        <w:rPr>
          <w:rFonts w:ascii="Bookman Old Style" w:hAnsi="Bookman Old Style"/>
        </w:rPr>
        <w:t xml:space="preserve">decreto legislativo </w:t>
      </w:r>
      <w:r w:rsidR="00E4382C" w:rsidRPr="00A20489">
        <w:rPr>
          <w:rFonts w:ascii="Bookman Old Style" w:hAnsi="Bookman Old Style"/>
        </w:rPr>
        <w:t>n. 267 del 2000</w:t>
      </w:r>
      <w:r w:rsidR="007D721A" w:rsidRPr="00A20489">
        <w:rPr>
          <w:rFonts w:ascii="Bookman Old Style" w:hAnsi="Bookman Old Style"/>
        </w:rPr>
        <w:t>.</w:t>
      </w:r>
    </w:p>
    <w:p w14:paraId="375BF36B" w14:textId="77777777" w:rsidR="007D721A" w:rsidRPr="00A20489" w:rsidRDefault="007D721A" w:rsidP="00301BCF">
      <w:pPr>
        <w:spacing w:after="80"/>
        <w:jc w:val="center"/>
        <w:rPr>
          <w:rFonts w:ascii="Bookman Old Style" w:hAnsi="Bookman Old Style"/>
          <w:b/>
          <w:bCs/>
        </w:rPr>
      </w:pPr>
      <w:r w:rsidRPr="00A20489">
        <w:rPr>
          <w:rFonts w:ascii="Bookman Old Style" w:hAnsi="Bookman Old Style"/>
          <w:b/>
          <w:bCs/>
        </w:rPr>
        <w:t>Motivazione</w:t>
      </w:r>
    </w:p>
    <w:p w14:paraId="5D962FED" w14:textId="77777777" w:rsidR="007D721A" w:rsidRPr="00A20489" w:rsidRDefault="007D721A" w:rsidP="00301BCF">
      <w:pPr>
        <w:spacing w:after="80"/>
        <w:jc w:val="both"/>
        <w:rPr>
          <w:rFonts w:ascii="Bookman Old Style" w:hAnsi="Bookman Old Style"/>
          <w:i/>
          <w:iCs/>
        </w:rPr>
      </w:pPr>
      <w:r w:rsidRPr="00A20489">
        <w:rPr>
          <w:rFonts w:ascii="Bookman Old Style" w:hAnsi="Bookman Old Style"/>
          <w:i/>
          <w:iCs/>
        </w:rPr>
        <w:t>La disposizione normativa ha la finalità, per gli enti locali per cui si stato dichiarato il dissesto o che si trovino in situazioni strutturalmente deficitarie, di assicurare agli stessi la continuità amministrativa consentendo di non risolvere i contratti dirigenziali a tempo determinato di cui all’articolo 110 TUEL e di potersi avvalere dei collaboratori di cui all’art. 90 dello stesso TUEL, per l’attuazione degli investimenti a valere su risorse del PNRR, dei programmi cofinanziati dall’Unione europea e dei programmi operativi complementari alla programmazione comunitaria 2014/2020 e 2021/2027, fino al 31 dicembre 2026.</w:t>
      </w:r>
    </w:p>
    <w:p w14:paraId="4B966B52" w14:textId="77777777" w:rsidR="00130A4A" w:rsidRPr="00A20489" w:rsidRDefault="00130A4A" w:rsidP="00130A4A">
      <w:pPr>
        <w:jc w:val="both"/>
        <w:rPr>
          <w:rFonts w:ascii="Bookman Old Style" w:hAnsi="Bookman Old Style"/>
          <w:b/>
          <w:bCs/>
        </w:rPr>
      </w:pPr>
    </w:p>
    <w:p w14:paraId="093DD8A2" w14:textId="24D95213" w:rsidR="00130A4A" w:rsidRPr="00B32FB7" w:rsidRDefault="00130A4A"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68" w:name="_Toc121214297"/>
      <w:r w:rsidRPr="00B32FB7">
        <w:rPr>
          <w:rFonts w:ascii="Bookman Old Style" w:hAnsi="Bookman Old Style"/>
          <w:b/>
          <w:bCs/>
          <w:color w:val="2F5496" w:themeColor="accent1" w:themeShade="BF"/>
          <w:sz w:val="22"/>
          <w:szCs w:val="22"/>
        </w:rPr>
        <w:t xml:space="preserve">Disposizioni in materia di conferimento </w:t>
      </w:r>
      <w:r w:rsidR="00C65393" w:rsidRPr="00B32FB7">
        <w:rPr>
          <w:rFonts w:ascii="Bookman Old Style" w:hAnsi="Bookman Old Style"/>
          <w:b/>
          <w:bCs/>
          <w:color w:val="2F5496" w:themeColor="accent1" w:themeShade="BF"/>
          <w:sz w:val="22"/>
          <w:szCs w:val="22"/>
        </w:rPr>
        <w:t>di incarichi</w:t>
      </w:r>
      <w:r w:rsidRPr="00B32FB7">
        <w:rPr>
          <w:rFonts w:ascii="Bookman Old Style" w:hAnsi="Bookman Old Style"/>
          <w:b/>
          <w:bCs/>
          <w:color w:val="2F5496" w:themeColor="accent1" w:themeShade="BF"/>
          <w:sz w:val="22"/>
          <w:szCs w:val="22"/>
        </w:rPr>
        <w:t xml:space="preserve"> per </w:t>
      </w:r>
      <w:r w:rsidR="001203E6">
        <w:rPr>
          <w:rFonts w:ascii="Bookman Old Style" w:hAnsi="Bookman Old Style"/>
          <w:b/>
          <w:bCs/>
          <w:color w:val="2F5496" w:themeColor="accent1" w:themeShade="BF"/>
          <w:sz w:val="22"/>
          <w:szCs w:val="22"/>
        </w:rPr>
        <w:t>l’attuazione del PNRR</w:t>
      </w:r>
      <w:bookmarkEnd w:id="68"/>
      <w:r w:rsidRPr="00B32FB7">
        <w:rPr>
          <w:rFonts w:ascii="Bookman Old Style" w:hAnsi="Bookman Old Style"/>
          <w:b/>
          <w:bCs/>
          <w:color w:val="2F5496" w:themeColor="accent1" w:themeShade="BF"/>
          <w:sz w:val="22"/>
          <w:szCs w:val="22"/>
        </w:rPr>
        <w:t xml:space="preserve"> </w:t>
      </w:r>
    </w:p>
    <w:p w14:paraId="4D3BB2F3" w14:textId="755A0A2F" w:rsidR="00C65393" w:rsidRPr="00A20489" w:rsidRDefault="00C65393" w:rsidP="00170C4E">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64 aggiungere il seguente art. 64</w:t>
      </w:r>
      <w:r w:rsidR="001203E6">
        <w:rPr>
          <w:rFonts w:ascii="Bookman Old Style" w:hAnsi="Bookman Old Style"/>
          <w:i/>
          <w:iCs/>
          <w:sz w:val="22"/>
          <w:szCs w:val="22"/>
        </w:rPr>
        <w:t>-</w:t>
      </w:r>
      <w:r w:rsidRPr="00A20489">
        <w:rPr>
          <w:rFonts w:ascii="Bookman Old Style" w:hAnsi="Bookman Old Style"/>
          <w:i/>
          <w:iCs/>
          <w:sz w:val="22"/>
          <w:szCs w:val="22"/>
        </w:rPr>
        <w:t>bis</w:t>
      </w:r>
    </w:p>
    <w:p w14:paraId="402E58DA" w14:textId="70BCD934" w:rsidR="001203E6" w:rsidRDefault="001203E6" w:rsidP="00170C4E">
      <w:pPr>
        <w:spacing w:after="80"/>
        <w:jc w:val="center"/>
        <w:rPr>
          <w:rFonts w:ascii="Bookman Old Style" w:hAnsi="Bookman Old Style"/>
          <w:i/>
          <w:iCs/>
        </w:rPr>
      </w:pPr>
      <w:r>
        <w:rPr>
          <w:rFonts w:ascii="Bookman Old Style" w:hAnsi="Bookman Old Style"/>
          <w:i/>
          <w:iCs/>
        </w:rPr>
        <w:t>A</w:t>
      </w:r>
      <w:r w:rsidRPr="009A1F6F">
        <w:rPr>
          <w:rFonts w:ascii="Bookman Old Style" w:hAnsi="Bookman Old Style"/>
          <w:i/>
          <w:iCs/>
        </w:rPr>
        <w:t>rt. 64</w:t>
      </w:r>
      <w:r>
        <w:rPr>
          <w:rFonts w:ascii="Bookman Old Style" w:hAnsi="Bookman Old Style"/>
          <w:i/>
          <w:iCs/>
        </w:rPr>
        <w:t>-bis</w:t>
      </w:r>
      <w:r w:rsidRPr="009A1F6F">
        <w:rPr>
          <w:rFonts w:ascii="Bookman Old Style" w:hAnsi="Bookman Old Style"/>
          <w:i/>
          <w:iCs/>
        </w:rPr>
        <w:t xml:space="preserve"> </w:t>
      </w:r>
      <w:r>
        <w:rPr>
          <w:rFonts w:ascii="Bookman Old Style" w:hAnsi="Bookman Old Style"/>
          <w:i/>
          <w:iCs/>
        </w:rPr>
        <w:t>(</w:t>
      </w:r>
      <w:r w:rsidR="003A6516">
        <w:rPr>
          <w:rFonts w:ascii="Bookman Old Style" w:hAnsi="Bookman Old Style"/>
          <w:i/>
          <w:iCs/>
        </w:rPr>
        <w:t xml:space="preserve">conferimento di incarichi </w:t>
      </w:r>
      <w:r>
        <w:rPr>
          <w:rFonts w:ascii="Bookman Old Style" w:hAnsi="Bookman Old Style"/>
          <w:i/>
          <w:iCs/>
        </w:rPr>
        <w:t>per gli enti locali attuatori di opere PNRR</w:t>
      </w:r>
    </w:p>
    <w:p w14:paraId="7CDBBA0F" w14:textId="77777777" w:rsidR="003A6516" w:rsidRDefault="00130A4A" w:rsidP="00170C4E">
      <w:pPr>
        <w:spacing w:after="80"/>
        <w:jc w:val="both"/>
        <w:rPr>
          <w:rFonts w:ascii="Bookman Old Style" w:hAnsi="Bookman Old Style"/>
        </w:rPr>
      </w:pPr>
      <w:r w:rsidRPr="00A20489">
        <w:rPr>
          <w:rFonts w:ascii="Bookman Old Style" w:hAnsi="Bookman Old Style"/>
        </w:rPr>
        <w:t xml:space="preserve">All’articolo 10 del decreto-legge 30 aprile 2022, n. 36, convertito con modificazioni dalla legge 29 giugno 2022, n. 79, dopo il comma 1-bis, è aggiunto il seguente: </w:t>
      </w:r>
    </w:p>
    <w:p w14:paraId="04B98891" w14:textId="72A5B98C" w:rsidR="00130A4A" w:rsidRPr="00A20489" w:rsidRDefault="00130A4A" w:rsidP="00170C4E">
      <w:pPr>
        <w:spacing w:after="80"/>
        <w:ind w:left="142"/>
        <w:jc w:val="both"/>
        <w:rPr>
          <w:rFonts w:ascii="Bookman Old Style" w:hAnsi="Bookman Old Style"/>
        </w:rPr>
      </w:pPr>
      <w:r w:rsidRPr="00A20489">
        <w:rPr>
          <w:rFonts w:ascii="Bookman Old Style" w:hAnsi="Bookman Old Style"/>
        </w:rPr>
        <w:t>“1-ter.</w:t>
      </w:r>
      <w:r w:rsidR="00901A9A">
        <w:rPr>
          <w:rFonts w:ascii="Bookman Old Style" w:hAnsi="Bookman Old Style"/>
        </w:rPr>
        <w:t xml:space="preserve"> </w:t>
      </w:r>
      <w:r w:rsidRPr="00A20489">
        <w:rPr>
          <w:rFonts w:ascii="Bookman Old Style" w:hAnsi="Bookman Old Style"/>
        </w:rPr>
        <w:t>Fino</w:t>
      </w:r>
      <w:r w:rsidR="00901A9A">
        <w:rPr>
          <w:rFonts w:ascii="Bookman Old Style" w:hAnsi="Bookman Old Style"/>
        </w:rPr>
        <w:t xml:space="preserve"> </w:t>
      </w:r>
      <w:r w:rsidRPr="00A20489">
        <w:rPr>
          <w:rFonts w:ascii="Bookman Old Style" w:hAnsi="Bookman Old Style"/>
        </w:rPr>
        <w:t>al</w:t>
      </w:r>
      <w:r w:rsidR="00901A9A">
        <w:rPr>
          <w:rFonts w:ascii="Bookman Old Style" w:hAnsi="Bookman Old Style"/>
        </w:rPr>
        <w:t xml:space="preserve"> </w:t>
      </w:r>
      <w:r w:rsidRPr="00A20489">
        <w:rPr>
          <w:rFonts w:ascii="Bookman Old Style" w:hAnsi="Bookman Old Style"/>
        </w:rPr>
        <w:t>31</w:t>
      </w:r>
      <w:r w:rsidR="00901A9A">
        <w:rPr>
          <w:rFonts w:ascii="Bookman Old Style" w:hAnsi="Bookman Old Style"/>
        </w:rPr>
        <w:t xml:space="preserve"> </w:t>
      </w:r>
      <w:r w:rsidRPr="00A20489">
        <w:rPr>
          <w:rFonts w:ascii="Bookman Old Style" w:hAnsi="Bookman Old Style"/>
        </w:rPr>
        <w:t>dicembre</w:t>
      </w:r>
      <w:r w:rsidR="00901A9A">
        <w:rPr>
          <w:rFonts w:ascii="Bookman Old Style" w:hAnsi="Bookman Old Style"/>
        </w:rPr>
        <w:t xml:space="preserve"> </w:t>
      </w:r>
      <w:r w:rsidRPr="00A20489">
        <w:rPr>
          <w:rFonts w:ascii="Bookman Old Style" w:hAnsi="Bookman Old Style"/>
        </w:rPr>
        <w:t>2026, gli enti locali attuatori</w:t>
      </w:r>
      <w:r w:rsidR="00901A9A">
        <w:rPr>
          <w:rFonts w:ascii="Bookman Old Style" w:hAnsi="Bookman Old Style"/>
        </w:rPr>
        <w:t xml:space="preserve"> </w:t>
      </w:r>
      <w:r w:rsidRPr="00A20489">
        <w:rPr>
          <w:rFonts w:ascii="Bookman Old Style" w:hAnsi="Bookman Old Style"/>
        </w:rPr>
        <w:t>di interventi previsti nel Piano nazionale di ripresa e resilienza,</w:t>
      </w:r>
      <w:r w:rsidR="00901A9A">
        <w:rPr>
          <w:rFonts w:ascii="Bookman Old Style" w:hAnsi="Bookman Old Style"/>
        </w:rPr>
        <w:t xml:space="preserve"> </w:t>
      </w:r>
      <w:r w:rsidRPr="00A20489">
        <w:rPr>
          <w:rFonts w:ascii="Bookman Old Style" w:hAnsi="Bookman Old Style"/>
        </w:rPr>
        <w:t>in</w:t>
      </w:r>
      <w:r w:rsidR="00901A9A">
        <w:rPr>
          <w:rFonts w:ascii="Bookman Old Style" w:hAnsi="Bookman Old Style"/>
        </w:rPr>
        <w:t xml:space="preserve"> </w:t>
      </w:r>
      <w:r w:rsidRPr="00A20489">
        <w:rPr>
          <w:rFonts w:ascii="Bookman Old Style" w:hAnsi="Bookman Old Style"/>
        </w:rPr>
        <w:t>deroga</w:t>
      </w:r>
      <w:r w:rsidR="00901A9A">
        <w:rPr>
          <w:rFonts w:ascii="Bookman Old Style" w:hAnsi="Bookman Old Style"/>
        </w:rPr>
        <w:t xml:space="preserve"> </w:t>
      </w:r>
      <w:r w:rsidRPr="00A20489">
        <w:rPr>
          <w:rFonts w:ascii="Bookman Old Style" w:hAnsi="Bookman Old Style"/>
        </w:rPr>
        <w:t>al</w:t>
      </w:r>
      <w:r w:rsidR="00901A9A">
        <w:rPr>
          <w:rFonts w:ascii="Bookman Old Style" w:hAnsi="Bookman Old Style"/>
        </w:rPr>
        <w:t xml:space="preserve"> </w:t>
      </w:r>
      <w:r w:rsidRPr="00A20489">
        <w:rPr>
          <w:rFonts w:ascii="Bookman Old Style" w:hAnsi="Bookman Old Style"/>
        </w:rPr>
        <w:t>divieto</w:t>
      </w:r>
      <w:r w:rsidR="00901A9A">
        <w:rPr>
          <w:rFonts w:ascii="Bookman Old Style" w:hAnsi="Bookman Old Style"/>
        </w:rPr>
        <w:t xml:space="preserve"> </w:t>
      </w:r>
      <w:r w:rsidRPr="00A20489">
        <w:rPr>
          <w:rFonts w:ascii="Bookman Old Style" w:hAnsi="Bookman Old Style"/>
        </w:rPr>
        <w:t>di attribuire incarichi retribuiti a lavoratori collocati in</w:t>
      </w:r>
      <w:r w:rsidR="00901A9A">
        <w:rPr>
          <w:rFonts w:ascii="Bookman Old Style" w:hAnsi="Bookman Old Style"/>
        </w:rPr>
        <w:t xml:space="preserve"> </w:t>
      </w:r>
      <w:r w:rsidRPr="00A20489">
        <w:rPr>
          <w:rFonts w:ascii="Bookman Old Style" w:hAnsi="Bookman Old Style"/>
        </w:rPr>
        <w:t>quiescenza ai sensi dell'articolo 5, comma 9, del</w:t>
      </w:r>
      <w:r w:rsidR="00901A9A">
        <w:rPr>
          <w:rFonts w:ascii="Bookman Old Style" w:hAnsi="Bookman Old Style"/>
        </w:rPr>
        <w:t xml:space="preserve"> </w:t>
      </w:r>
      <w:r w:rsidRPr="00A20489">
        <w:rPr>
          <w:rFonts w:ascii="Bookman Old Style" w:hAnsi="Bookman Old Style"/>
        </w:rPr>
        <w:t>decreto-legge 6</w:t>
      </w:r>
      <w:r w:rsidR="00901A9A">
        <w:rPr>
          <w:rFonts w:ascii="Bookman Old Style" w:hAnsi="Bookman Old Style"/>
        </w:rPr>
        <w:t xml:space="preserve"> </w:t>
      </w:r>
      <w:r w:rsidRPr="00A20489">
        <w:rPr>
          <w:rFonts w:ascii="Bookman Old Style" w:hAnsi="Bookman Old Style"/>
        </w:rPr>
        <w:t>luglio</w:t>
      </w:r>
      <w:r w:rsidR="00901A9A">
        <w:rPr>
          <w:rFonts w:ascii="Bookman Old Style" w:hAnsi="Bookman Old Style"/>
        </w:rPr>
        <w:t xml:space="preserve"> </w:t>
      </w:r>
      <w:r w:rsidRPr="00A20489">
        <w:rPr>
          <w:rFonts w:ascii="Bookman Old Style" w:hAnsi="Bookman Old Style"/>
        </w:rPr>
        <w:t>2012, n. 95, convertito, con modificazioni, dalla legge 7 agosto</w:t>
      </w:r>
      <w:r w:rsidR="00901A9A">
        <w:rPr>
          <w:rFonts w:ascii="Bookman Old Style" w:hAnsi="Bookman Old Style"/>
        </w:rPr>
        <w:t xml:space="preserve"> </w:t>
      </w:r>
      <w:r w:rsidRPr="00A20489">
        <w:rPr>
          <w:rFonts w:ascii="Bookman Old Style" w:hAnsi="Bookman Old Style"/>
        </w:rPr>
        <w:t>2012,</w:t>
      </w:r>
      <w:r w:rsidR="00901A9A">
        <w:rPr>
          <w:rFonts w:ascii="Bookman Old Style" w:hAnsi="Bookman Old Style"/>
        </w:rPr>
        <w:t xml:space="preserve"> </w:t>
      </w:r>
      <w:r w:rsidRPr="00A20489">
        <w:rPr>
          <w:rFonts w:ascii="Bookman Old Style" w:hAnsi="Bookman Old Style"/>
        </w:rPr>
        <w:t>n. 135, possono coprire i ruoli infungibili del dirigente della polizia locale, del dirigente finanziario e del dirigente tecnico</w:t>
      </w:r>
      <w:r w:rsidR="00901A9A">
        <w:rPr>
          <w:rFonts w:ascii="Bookman Old Style" w:hAnsi="Bookman Old Style"/>
        </w:rPr>
        <w:t xml:space="preserve"> </w:t>
      </w:r>
      <w:r w:rsidRPr="00A20489">
        <w:rPr>
          <w:rFonts w:ascii="Bookman Old Style" w:hAnsi="Bookman Old Style"/>
        </w:rPr>
        <w:t>mediante il conferimento di incarichi a tempo determinato ai sensi dell’articolo 110 del testo unico di cui al decreto legislativo 18 agosto 2000, n. 267”.</w:t>
      </w:r>
    </w:p>
    <w:p w14:paraId="3786E42A" w14:textId="77777777" w:rsidR="00130A4A" w:rsidRPr="00A20489" w:rsidRDefault="00130A4A" w:rsidP="00170C4E">
      <w:pPr>
        <w:spacing w:after="80"/>
        <w:jc w:val="center"/>
        <w:rPr>
          <w:rFonts w:ascii="Bookman Old Style" w:hAnsi="Bookman Old Style"/>
          <w:b/>
          <w:bCs/>
        </w:rPr>
      </w:pPr>
      <w:r w:rsidRPr="00A20489">
        <w:rPr>
          <w:rFonts w:ascii="Bookman Old Style" w:hAnsi="Bookman Old Style"/>
          <w:b/>
          <w:bCs/>
        </w:rPr>
        <w:t>Motivazione</w:t>
      </w:r>
    </w:p>
    <w:p w14:paraId="4CEBE670" w14:textId="77777777" w:rsidR="00130A4A" w:rsidRPr="00A20489" w:rsidRDefault="00130A4A" w:rsidP="00170C4E">
      <w:pPr>
        <w:spacing w:after="80"/>
        <w:jc w:val="both"/>
        <w:rPr>
          <w:rFonts w:ascii="Bookman Old Style" w:hAnsi="Bookman Old Style"/>
          <w:i/>
          <w:iCs/>
        </w:rPr>
      </w:pPr>
      <w:r w:rsidRPr="00A20489">
        <w:rPr>
          <w:rFonts w:ascii="Bookman Old Style" w:hAnsi="Bookman Old Style"/>
          <w:i/>
          <w:iCs/>
        </w:rPr>
        <w:t>L’emendamento è necessario per garantire la continuità amministrativa ed operativa dei fondamentali settori della polizia locale, finanziario e tecnico, dei comuni e delle città metropolitane coinvolti nell’attuazione dei progetti PNRR. A tal fine si propone l’ampliamento delle fattispecie, già introdotte con il DL n. 36/2022, nelle quali è possibile derogare al divieto di conferimento di incarichi a soggetti in quiescenza.</w:t>
      </w:r>
    </w:p>
    <w:p w14:paraId="10F445F6" w14:textId="77777777" w:rsidR="00130A4A" w:rsidRPr="00A20489" w:rsidRDefault="00130A4A" w:rsidP="00170C4E">
      <w:pPr>
        <w:spacing w:after="80"/>
        <w:jc w:val="both"/>
        <w:rPr>
          <w:rFonts w:ascii="Bookman Old Style" w:hAnsi="Bookman Old Style"/>
          <w:i/>
          <w:iCs/>
        </w:rPr>
      </w:pPr>
      <w:r w:rsidRPr="00A20489">
        <w:rPr>
          <w:rFonts w:ascii="Bookman Old Style" w:hAnsi="Bookman Old Style"/>
          <w:i/>
          <w:iCs/>
        </w:rPr>
        <w:t>L’emendamento non comporta nuovi oneri, in quanto il richiamo all’art. 110 TUEL garantisce che la retribuzione degli incarichi in questione sia determinata in applicazione del CCNL di comparto.</w:t>
      </w:r>
    </w:p>
    <w:p w14:paraId="313DF8AF" w14:textId="77777777" w:rsidR="00346EA2" w:rsidRDefault="00346EA2" w:rsidP="00170C4E">
      <w:pPr>
        <w:spacing w:after="80"/>
        <w:jc w:val="both"/>
        <w:rPr>
          <w:rFonts w:ascii="Bookman Old Style" w:hAnsi="Bookman Old Style"/>
          <w:i/>
          <w:iCs/>
        </w:rPr>
      </w:pPr>
    </w:p>
    <w:p w14:paraId="408C910B" w14:textId="77777777" w:rsidR="00CD5B83" w:rsidRPr="00A20489" w:rsidRDefault="00CD5B83" w:rsidP="00170C4E">
      <w:pPr>
        <w:spacing w:after="80"/>
        <w:jc w:val="both"/>
        <w:rPr>
          <w:rFonts w:ascii="Bookman Old Style" w:hAnsi="Bookman Old Style"/>
          <w:i/>
          <w:iCs/>
        </w:rPr>
      </w:pPr>
    </w:p>
    <w:p w14:paraId="617E5F61" w14:textId="3E16547C" w:rsidR="00346EA2" w:rsidRPr="00143D0B" w:rsidRDefault="00346EA2"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69" w:name="_Toc121214298"/>
      <w:r w:rsidRPr="00143D0B">
        <w:rPr>
          <w:rFonts w:ascii="Bookman Old Style" w:hAnsi="Bookman Old Style"/>
          <w:b/>
          <w:bCs/>
          <w:color w:val="2F5496" w:themeColor="accent1" w:themeShade="BF"/>
          <w:sz w:val="22"/>
          <w:szCs w:val="22"/>
        </w:rPr>
        <w:t>Personale de</w:t>
      </w:r>
      <w:r w:rsidR="00987B4F" w:rsidRPr="00143D0B">
        <w:rPr>
          <w:rFonts w:ascii="Bookman Old Style" w:hAnsi="Bookman Old Style"/>
          <w:b/>
          <w:bCs/>
          <w:color w:val="2F5496" w:themeColor="accent1" w:themeShade="BF"/>
          <w:sz w:val="22"/>
          <w:szCs w:val="22"/>
        </w:rPr>
        <w:t>i piccoli comuni:</w:t>
      </w:r>
      <w:r w:rsidRPr="00143D0B">
        <w:rPr>
          <w:rFonts w:ascii="Bookman Old Style" w:hAnsi="Bookman Old Style"/>
          <w:b/>
          <w:bCs/>
          <w:color w:val="2F5496" w:themeColor="accent1" w:themeShade="BF"/>
          <w:sz w:val="22"/>
          <w:szCs w:val="22"/>
        </w:rPr>
        <w:t xml:space="preserve"> utilizzo da parte di altre amministrazioni</w:t>
      </w:r>
      <w:bookmarkEnd w:id="69"/>
      <w:r w:rsidR="007B7DC2" w:rsidRPr="00143D0B">
        <w:rPr>
          <w:rFonts w:ascii="Bookman Old Style" w:hAnsi="Bookman Old Style"/>
          <w:b/>
          <w:bCs/>
          <w:color w:val="2F5496" w:themeColor="accent1" w:themeShade="BF"/>
          <w:sz w:val="22"/>
          <w:szCs w:val="22"/>
        </w:rPr>
        <w:t xml:space="preserve"> </w:t>
      </w:r>
    </w:p>
    <w:p w14:paraId="47F2361A" w14:textId="2029E980" w:rsidR="00C65393" w:rsidRPr="00143D0B" w:rsidRDefault="00C65393" w:rsidP="00704D47">
      <w:pPr>
        <w:pStyle w:val="PreformattatoHTML"/>
        <w:shd w:val="clear" w:color="auto" w:fill="FFFFFF"/>
        <w:spacing w:after="80" w:line="259" w:lineRule="auto"/>
        <w:jc w:val="both"/>
        <w:rPr>
          <w:rFonts w:ascii="Bookman Old Style" w:hAnsi="Bookman Old Style"/>
          <w:i/>
          <w:iCs/>
          <w:sz w:val="22"/>
          <w:szCs w:val="22"/>
        </w:rPr>
      </w:pPr>
      <w:r w:rsidRPr="00143D0B">
        <w:rPr>
          <w:rFonts w:ascii="Bookman Old Style" w:hAnsi="Bookman Old Style"/>
          <w:i/>
          <w:iCs/>
          <w:sz w:val="22"/>
          <w:szCs w:val="22"/>
        </w:rPr>
        <w:t>Dopo l’art. 64 aggiungere il seguente art. 64</w:t>
      </w:r>
      <w:r w:rsidR="00DE53E2" w:rsidRPr="00143D0B">
        <w:rPr>
          <w:rFonts w:ascii="Bookman Old Style" w:hAnsi="Bookman Old Style"/>
          <w:i/>
          <w:iCs/>
          <w:sz w:val="22"/>
          <w:szCs w:val="22"/>
        </w:rPr>
        <w:t>-</w:t>
      </w:r>
      <w:r w:rsidRPr="00143D0B">
        <w:rPr>
          <w:rFonts w:ascii="Bookman Old Style" w:hAnsi="Bookman Old Style"/>
          <w:i/>
          <w:iCs/>
          <w:sz w:val="22"/>
          <w:szCs w:val="22"/>
        </w:rPr>
        <w:t>bis</w:t>
      </w:r>
    </w:p>
    <w:p w14:paraId="419D762F" w14:textId="00CB5333" w:rsidR="00E121B7" w:rsidRPr="00143D0B" w:rsidRDefault="00E121B7" w:rsidP="00704D47">
      <w:pPr>
        <w:spacing w:after="80"/>
        <w:rPr>
          <w:rFonts w:ascii="Bookman Old Style" w:hAnsi="Bookman Old Style"/>
          <w:i/>
          <w:iCs/>
        </w:rPr>
      </w:pPr>
      <w:r w:rsidRPr="00143D0B">
        <w:rPr>
          <w:rFonts w:ascii="Bookman Old Style" w:hAnsi="Bookman Old Style"/>
          <w:i/>
          <w:iCs/>
        </w:rPr>
        <w:t xml:space="preserve">Art. 64-bis (Utilizzo personale “a scavalco” </w:t>
      </w:r>
      <w:r w:rsidR="00DE53E2" w:rsidRPr="00143D0B">
        <w:rPr>
          <w:rFonts w:ascii="Bookman Old Style" w:hAnsi="Bookman Old Style"/>
          <w:i/>
          <w:iCs/>
        </w:rPr>
        <w:t xml:space="preserve">da parte degli </w:t>
      </w:r>
      <w:r w:rsidRPr="00143D0B">
        <w:rPr>
          <w:rFonts w:ascii="Bookman Old Style" w:hAnsi="Bookman Old Style"/>
          <w:i/>
          <w:iCs/>
        </w:rPr>
        <w:t>gli enti locali</w:t>
      </w:r>
      <w:r w:rsidR="00DE53E2" w:rsidRPr="00143D0B">
        <w:rPr>
          <w:rFonts w:ascii="Bookman Old Style" w:hAnsi="Bookman Old Style"/>
          <w:i/>
          <w:iCs/>
        </w:rPr>
        <w:t>)</w:t>
      </w:r>
    </w:p>
    <w:p w14:paraId="481E028D" w14:textId="38CAA5DF" w:rsidR="00346EA2" w:rsidRPr="00A20489" w:rsidRDefault="00346EA2" w:rsidP="00704D47">
      <w:pPr>
        <w:spacing w:after="80"/>
        <w:jc w:val="both"/>
        <w:rPr>
          <w:rFonts w:ascii="Bookman Old Style" w:hAnsi="Bookman Old Style"/>
        </w:rPr>
      </w:pPr>
      <w:r w:rsidRPr="00143D0B">
        <w:rPr>
          <w:rFonts w:ascii="Bookman Old Style" w:hAnsi="Bookman Old Style"/>
        </w:rPr>
        <w:t>“Al comma 557 dell’art.1 della L. 311/2004 sostituire la parola “5.000” con “1</w:t>
      </w:r>
      <w:r w:rsidR="00D67557" w:rsidRPr="00143D0B">
        <w:rPr>
          <w:rFonts w:ascii="Bookman Old Style" w:hAnsi="Bookman Old Style"/>
        </w:rPr>
        <w:t>5</w:t>
      </w:r>
      <w:r w:rsidRPr="00143D0B">
        <w:rPr>
          <w:rFonts w:ascii="Bookman Old Style" w:hAnsi="Bookman Old Style"/>
        </w:rPr>
        <w:t>.000”</w:t>
      </w:r>
    </w:p>
    <w:p w14:paraId="4254ADCB" w14:textId="2D03D967" w:rsidR="00346EA2" w:rsidRPr="00A20489" w:rsidRDefault="00096B74" w:rsidP="00704D47">
      <w:pPr>
        <w:spacing w:after="80"/>
        <w:jc w:val="center"/>
        <w:rPr>
          <w:rFonts w:ascii="Bookman Old Style" w:hAnsi="Bookman Old Style"/>
        </w:rPr>
      </w:pPr>
      <w:r w:rsidRPr="00A20489">
        <w:rPr>
          <w:rFonts w:ascii="Bookman Old Style" w:hAnsi="Bookman Old Style"/>
          <w:b/>
          <w:bCs/>
        </w:rPr>
        <w:t>Motivazione</w:t>
      </w:r>
    </w:p>
    <w:p w14:paraId="459C2507" w14:textId="26F125D1" w:rsidR="00346EA2" w:rsidRPr="00A20489" w:rsidRDefault="00346EA2" w:rsidP="00704D47">
      <w:pPr>
        <w:spacing w:after="80"/>
        <w:jc w:val="both"/>
        <w:rPr>
          <w:rFonts w:ascii="Bookman Old Style" w:hAnsi="Bookman Old Style"/>
          <w:i/>
          <w:iCs/>
        </w:rPr>
      </w:pPr>
      <w:r w:rsidRPr="00A20489">
        <w:rPr>
          <w:rFonts w:ascii="Bookman Old Style" w:hAnsi="Bookman Old Style"/>
          <w:i/>
          <w:iCs/>
        </w:rPr>
        <w:t xml:space="preserve">Con </w:t>
      </w:r>
      <w:r w:rsidR="00DE53E2">
        <w:rPr>
          <w:rFonts w:ascii="Bookman Old Style" w:hAnsi="Bookman Old Style"/>
          <w:i/>
          <w:iCs/>
        </w:rPr>
        <w:t xml:space="preserve">la </w:t>
      </w:r>
      <w:r w:rsidRPr="00A20489">
        <w:rPr>
          <w:rFonts w:ascii="Bookman Old Style" w:hAnsi="Bookman Old Style"/>
          <w:i/>
          <w:iCs/>
        </w:rPr>
        <w:t xml:space="preserve">modifica </w:t>
      </w:r>
      <w:r w:rsidR="00DE53E2">
        <w:rPr>
          <w:rFonts w:ascii="Bookman Old Style" w:hAnsi="Bookman Old Style"/>
          <w:i/>
          <w:iCs/>
        </w:rPr>
        <w:t xml:space="preserve">proposta </w:t>
      </w:r>
      <w:r w:rsidRPr="00A20489">
        <w:rPr>
          <w:rFonts w:ascii="Bookman Old Style" w:hAnsi="Bookman Old Style"/>
          <w:i/>
          <w:iCs/>
        </w:rPr>
        <w:t>anche i comuni nella fascia di popolazione compresa tra 5.000 e 1</w:t>
      </w:r>
      <w:r w:rsidR="00987B4F">
        <w:rPr>
          <w:rFonts w:ascii="Bookman Old Style" w:hAnsi="Bookman Old Style"/>
          <w:i/>
          <w:iCs/>
        </w:rPr>
        <w:t>5</w:t>
      </w:r>
      <w:r w:rsidRPr="00A20489">
        <w:rPr>
          <w:rFonts w:ascii="Bookman Old Style" w:hAnsi="Bookman Old Style"/>
          <w:i/>
          <w:iCs/>
        </w:rPr>
        <w:t xml:space="preserve">.000 abitanti potranno beneficiare del c.d. “scavalco in eccedenza”, compensando così in parte le gravi riduzioni di organico. </w:t>
      </w:r>
    </w:p>
    <w:p w14:paraId="59B4BE0D" w14:textId="4A6BEA6D" w:rsidR="00DE53E2" w:rsidRDefault="00DE53E2" w:rsidP="00704D47">
      <w:pPr>
        <w:spacing w:after="80"/>
        <w:rPr>
          <w:rFonts w:ascii="Bookman Old Style" w:eastAsiaTheme="majorEastAsia" w:hAnsi="Bookman Old Style" w:cstheme="majorBidi"/>
          <w:b/>
          <w:bCs/>
          <w:color w:val="2F5496" w:themeColor="accent1" w:themeShade="BF"/>
        </w:rPr>
      </w:pPr>
    </w:p>
    <w:p w14:paraId="688F2248" w14:textId="77777777" w:rsidR="00EB77A5" w:rsidRDefault="00EB77A5">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3CC22BCC" w14:textId="4CC2CF14" w:rsidR="007351E9" w:rsidRPr="00B32FB7" w:rsidRDefault="007351E9"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70" w:name="_Toc121214299"/>
      <w:r w:rsidRPr="00B32FB7">
        <w:rPr>
          <w:rFonts w:ascii="Bookman Old Style" w:hAnsi="Bookman Old Style"/>
          <w:b/>
          <w:bCs/>
          <w:color w:val="2F5496" w:themeColor="accent1" w:themeShade="BF"/>
          <w:sz w:val="22"/>
          <w:szCs w:val="22"/>
        </w:rPr>
        <w:t>Regolarizzazione delle posizioni contributive</w:t>
      </w:r>
      <w:bookmarkEnd w:id="70"/>
    </w:p>
    <w:p w14:paraId="799C4D3E" w14:textId="6FB72E92" w:rsidR="00C65393" w:rsidRPr="00A20489" w:rsidRDefault="00C65393" w:rsidP="00704D47">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64 aggiungere il seguente art. 64</w:t>
      </w:r>
      <w:r w:rsidR="009D22A4">
        <w:rPr>
          <w:rFonts w:ascii="Bookman Old Style" w:hAnsi="Bookman Old Style"/>
          <w:i/>
          <w:iCs/>
          <w:sz w:val="22"/>
          <w:szCs w:val="22"/>
        </w:rPr>
        <w:t>-</w:t>
      </w:r>
      <w:r w:rsidRPr="00A20489">
        <w:rPr>
          <w:rFonts w:ascii="Bookman Old Style" w:hAnsi="Bookman Old Style"/>
          <w:i/>
          <w:iCs/>
          <w:sz w:val="22"/>
          <w:szCs w:val="22"/>
        </w:rPr>
        <w:t>bis</w:t>
      </w:r>
    </w:p>
    <w:p w14:paraId="74122977" w14:textId="13F47A0A" w:rsidR="00DE53E2" w:rsidRDefault="00DE53E2" w:rsidP="00704D47">
      <w:pPr>
        <w:spacing w:after="80"/>
        <w:rPr>
          <w:rFonts w:ascii="Bookman Old Style" w:hAnsi="Bookman Old Style"/>
          <w:i/>
          <w:iCs/>
        </w:rPr>
      </w:pPr>
      <w:r>
        <w:rPr>
          <w:rFonts w:ascii="Bookman Old Style" w:hAnsi="Bookman Old Style"/>
          <w:i/>
          <w:iCs/>
        </w:rPr>
        <w:t>A</w:t>
      </w:r>
      <w:r w:rsidRPr="009A1F6F">
        <w:rPr>
          <w:rFonts w:ascii="Bookman Old Style" w:hAnsi="Bookman Old Style"/>
          <w:i/>
          <w:iCs/>
        </w:rPr>
        <w:t>rt. 64</w:t>
      </w:r>
      <w:r>
        <w:rPr>
          <w:rFonts w:ascii="Bookman Old Style" w:hAnsi="Bookman Old Style"/>
          <w:i/>
          <w:iCs/>
        </w:rPr>
        <w:t>-bis</w:t>
      </w:r>
      <w:r w:rsidRPr="009A1F6F">
        <w:rPr>
          <w:rFonts w:ascii="Bookman Old Style" w:hAnsi="Bookman Old Style"/>
          <w:i/>
          <w:iCs/>
        </w:rPr>
        <w:t xml:space="preserve"> </w:t>
      </w:r>
      <w:r>
        <w:rPr>
          <w:rFonts w:ascii="Bookman Old Style" w:hAnsi="Bookman Old Style"/>
          <w:i/>
          <w:iCs/>
        </w:rPr>
        <w:t>(Proroga termine di regolarizzazione delle posizioni contributive degli enti locali)</w:t>
      </w:r>
    </w:p>
    <w:p w14:paraId="0C965A46" w14:textId="77777777" w:rsidR="007351E9" w:rsidRPr="00A20489" w:rsidRDefault="007351E9" w:rsidP="00704D47">
      <w:pPr>
        <w:spacing w:after="80"/>
        <w:jc w:val="both"/>
        <w:rPr>
          <w:rFonts w:ascii="Bookman Old Style" w:hAnsi="Bookman Old Style" w:cs="Calibri"/>
          <w:lang w:eastAsia="it-IT"/>
        </w:rPr>
      </w:pPr>
      <w:r w:rsidRPr="00A20489">
        <w:rPr>
          <w:rFonts w:ascii="Bookman Old Style" w:hAnsi="Bookman Old Style" w:cs="Calibri"/>
          <w:lang w:eastAsia="it-IT"/>
        </w:rPr>
        <w:t>All’articolo 3, comma 10-bis, della legge 8 agosto 1995. n. 335, le parole “</w:t>
      </w:r>
      <w:r w:rsidRPr="00A20489">
        <w:rPr>
          <w:rFonts w:ascii="Bookman Old Style" w:hAnsi="Bookman Old Style" w:cs="Calibri"/>
          <w:i/>
          <w:iCs/>
          <w:lang w:eastAsia="it-IT"/>
        </w:rPr>
        <w:t>fino al 31 dicembre 2022”</w:t>
      </w:r>
      <w:r w:rsidRPr="00A20489">
        <w:rPr>
          <w:rFonts w:ascii="Bookman Old Style" w:hAnsi="Bookman Old Style" w:cs="Calibri"/>
          <w:lang w:eastAsia="it-IT"/>
        </w:rPr>
        <w:t> sono sostituite dalle seguenti: “</w:t>
      </w:r>
      <w:r w:rsidRPr="00A20489">
        <w:rPr>
          <w:rFonts w:ascii="Bookman Old Style" w:hAnsi="Bookman Old Style" w:cs="Calibri"/>
          <w:i/>
          <w:iCs/>
          <w:lang w:eastAsia="it-IT"/>
        </w:rPr>
        <w:t>fino al 31 dicembre 2023”</w:t>
      </w:r>
      <w:r w:rsidRPr="00A20489">
        <w:rPr>
          <w:rFonts w:ascii="Bookman Old Style" w:hAnsi="Bookman Old Style" w:cs="Calibri"/>
          <w:lang w:eastAsia="it-IT"/>
        </w:rPr>
        <w:t>.</w:t>
      </w:r>
    </w:p>
    <w:p w14:paraId="6F2EBB98" w14:textId="77777777" w:rsidR="007351E9" w:rsidRPr="00A20489" w:rsidRDefault="007351E9" w:rsidP="00704D47">
      <w:pPr>
        <w:spacing w:after="80"/>
        <w:jc w:val="center"/>
        <w:rPr>
          <w:rFonts w:ascii="Bookman Old Style" w:hAnsi="Bookman Old Style" w:cs="Calibri"/>
          <w:b/>
          <w:bCs/>
          <w:lang w:eastAsia="it-IT"/>
        </w:rPr>
      </w:pPr>
      <w:r w:rsidRPr="00A20489">
        <w:rPr>
          <w:rFonts w:ascii="Bookman Old Style" w:hAnsi="Bookman Old Style" w:cs="Calibri"/>
          <w:b/>
          <w:bCs/>
          <w:lang w:eastAsia="it-IT"/>
        </w:rPr>
        <w:t>Motivazione</w:t>
      </w:r>
    </w:p>
    <w:p w14:paraId="51223C7C" w14:textId="64573ED6" w:rsidR="00A47661" w:rsidRPr="00A20489" w:rsidRDefault="00A47661" w:rsidP="00704D47">
      <w:pPr>
        <w:spacing w:after="80"/>
        <w:jc w:val="both"/>
        <w:rPr>
          <w:rFonts w:ascii="Bookman Old Style" w:hAnsi="Bookman Old Style"/>
          <w:i/>
          <w:iCs/>
        </w:rPr>
      </w:pPr>
      <w:r w:rsidRPr="00A20489">
        <w:rPr>
          <w:rFonts w:ascii="Bookman Old Style" w:hAnsi="Bookman Old Style"/>
          <w:i/>
          <w:iCs/>
        </w:rPr>
        <w:t>L’emendamento è necessario per disporre la proroga del termine previsto per il 31 dicembre 2022</w:t>
      </w:r>
      <w:r w:rsidR="00901A9A">
        <w:rPr>
          <w:rFonts w:ascii="Bookman Old Style" w:hAnsi="Bookman Old Style"/>
          <w:i/>
          <w:iCs/>
        </w:rPr>
        <w:t xml:space="preserve"> </w:t>
      </w:r>
      <w:r w:rsidRPr="00A20489">
        <w:rPr>
          <w:rFonts w:ascii="Bookman Old Style" w:hAnsi="Bookman Old Style"/>
          <w:i/>
          <w:iCs/>
        </w:rPr>
        <w:t xml:space="preserve">per la regolarizzazione delle posizioni contributive di cui all’articolo 3, comma 10-bis della legge 335/1995, così come modificato dal decreto legge n. 4/2019 </w:t>
      </w:r>
      <w:r w:rsidR="000745A8">
        <w:rPr>
          <w:rFonts w:ascii="Bookman Old Style" w:hAnsi="Bookman Old Style"/>
          <w:i/>
          <w:iCs/>
        </w:rPr>
        <w:t xml:space="preserve">in fase di conversione, </w:t>
      </w:r>
      <w:r w:rsidRPr="00A20489">
        <w:rPr>
          <w:rFonts w:ascii="Bookman Old Style" w:hAnsi="Bookman Old Style"/>
          <w:i/>
          <w:iCs/>
        </w:rPr>
        <w:t>secondo il quale “</w:t>
      </w:r>
      <w:r w:rsidRPr="000745A8">
        <w:rPr>
          <w:rFonts w:ascii="Bookman Old Style" w:hAnsi="Bookman Old Style"/>
        </w:rPr>
        <w:t>per le gestioni previdenziali esclusive e per i fondi per i trattamenti di previdenza, i trattamenti di fine rapporto e i trattamenti di fine servizio amministrati dall'INPS cui sono iscritti i lavoratori dipendenti delle amministrazioni pubbliche di cui al decreto legislativo 30 marzo 2001, n. 165, i termini di prescrizione di cui ai commi 9 e 10, riferiti agli obblighi relativi alle contribuzioni di previdenza e assistenza sociale obbligatoria afferenti ai periodi di competenza fino al 31 dicembre 2017 non si applicano fino al 31 dicembre 2022, fatti salvi gli effetti di provvedimenti giurisdizionali passati in giudicato nonché il diritto all'integrale trattamento pensionistico del lavoratore</w:t>
      </w:r>
      <w:r w:rsidRPr="00A20489">
        <w:rPr>
          <w:rFonts w:ascii="Bookman Old Style" w:hAnsi="Bookman Old Style"/>
          <w:i/>
          <w:iCs/>
        </w:rPr>
        <w:t>”, considerate la difficoltà e la complessità delle procedure di revisione delle posizioni contributive stesse, così come richiesto agli enti locali da parte delle sedi INPS regionali.</w:t>
      </w:r>
    </w:p>
    <w:p w14:paraId="4599B515" w14:textId="444F1194" w:rsidR="00A47661" w:rsidRPr="00A20489" w:rsidRDefault="00A47661" w:rsidP="00704D47">
      <w:pPr>
        <w:spacing w:after="80"/>
        <w:jc w:val="both"/>
        <w:rPr>
          <w:rFonts w:ascii="Bookman Old Style" w:hAnsi="Bookman Old Style"/>
          <w:i/>
          <w:iCs/>
        </w:rPr>
      </w:pPr>
      <w:r w:rsidRPr="00A20489">
        <w:rPr>
          <w:rFonts w:ascii="Bookman Old Style" w:hAnsi="Bookman Old Style"/>
          <w:i/>
          <w:iCs/>
        </w:rPr>
        <w:t>L’esigenza di tale proroga scaturisce per quanto di seguito esposto</w:t>
      </w:r>
      <w:r w:rsidR="00121CAC">
        <w:rPr>
          <w:rFonts w:ascii="Bookman Old Style" w:hAnsi="Bookman Old Style"/>
          <w:i/>
          <w:iCs/>
        </w:rPr>
        <w:t xml:space="preserve">. In particolare, la </w:t>
      </w:r>
      <w:r w:rsidRPr="00A20489">
        <w:rPr>
          <w:rFonts w:ascii="Bookman Old Style" w:hAnsi="Bookman Old Style"/>
          <w:i/>
          <w:iCs/>
        </w:rPr>
        <w:t>scadenza della proroga della prescrizione dei contributi, fissata al 31/12/2022 per i dipendenti delle amministrazioni pubbliche, avrà due effetti:</w:t>
      </w:r>
    </w:p>
    <w:p w14:paraId="34C4CE41" w14:textId="3BB8C750" w:rsidR="00A47661" w:rsidRPr="00CD5B83" w:rsidRDefault="00CD5B83" w:rsidP="00CD5B83">
      <w:pPr>
        <w:spacing w:after="80"/>
        <w:jc w:val="both"/>
        <w:rPr>
          <w:rFonts w:ascii="Bookman Old Style" w:eastAsia="Times New Roman" w:hAnsi="Bookman Old Style"/>
          <w:i/>
          <w:iCs/>
        </w:rPr>
      </w:pPr>
      <w:r>
        <w:rPr>
          <w:rFonts w:ascii="Bookman Old Style" w:eastAsia="Times New Roman" w:hAnsi="Bookman Old Style"/>
          <w:i/>
          <w:iCs/>
        </w:rPr>
        <w:t xml:space="preserve">a) </w:t>
      </w:r>
      <w:r w:rsidR="00A47661" w:rsidRPr="00CD5B83">
        <w:rPr>
          <w:rFonts w:ascii="Bookman Old Style" w:eastAsia="Times New Roman" w:hAnsi="Bookman Old Style"/>
          <w:i/>
          <w:iCs/>
        </w:rPr>
        <w:t>i periodi di servizio antecedenti gli ultimi 5 anni , scoperti da contribuzione, non si potranno più regolarizzare con il versamento della contribuzione stessa (più eventuali sanzioni ed interessi), com’è stato in uso finora; tali periodi saranno comunque utili a pensione ma gli enti datori di lavoro saranno tenuti a sostenere l’onere del trattamento di quiescenza spettante per essi, la cui quantificazione avverrà con i criteri di calcolo vigenti in materia di rendita vitalizia ex art. 13 della legge 12 agosto 1962, n.1338 (tale onere è sensibilmente più elevato di quello che sarebbe costato per contributi e sanzioni civili)</w:t>
      </w:r>
      <w:r>
        <w:rPr>
          <w:rFonts w:ascii="Bookman Old Style" w:eastAsia="Times New Roman" w:hAnsi="Bookman Old Style"/>
          <w:i/>
          <w:iCs/>
        </w:rPr>
        <w:t>;</w:t>
      </w:r>
      <w:r w:rsidR="00A47661" w:rsidRPr="00CD5B83">
        <w:rPr>
          <w:rFonts w:ascii="Bookman Old Style" w:eastAsia="Times New Roman" w:hAnsi="Bookman Old Style"/>
          <w:i/>
          <w:iCs/>
        </w:rPr>
        <w:t xml:space="preserve"> </w:t>
      </w:r>
    </w:p>
    <w:p w14:paraId="7D297577" w14:textId="40C3AE44" w:rsidR="00A47661" w:rsidRDefault="00CD5B83" w:rsidP="00CD5B83">
      <w:pPr>
        <w:spacing w:after="80"/>
        <w:jc w:val="both"/>
        <w:rPr>
          <w:rFonts w:ascii="Bookman Old Style" w:eastAsia="Times New Roman" w:hAnsi="Bookman Old Style"/>
          <w:i/>
          <w:iCs/>
        </w:rPr>
      </w:pPr>
      <w:r>
        <w:rPr>
          <w:rFonts w:ascii="Bookman Old Style" w:eastAsia="Times New Roman" w:hAnsi="Bookman Old Style"/>
          <w:i/>
          <w:iCs/>
        </w:rPr>
        <w:t xml:space="preserve">b) </w:t>
      </w:r>
      <w:r w:rsidR="00A47661" w:rsidRPr="00CD5B83">
        <w:rPr>
          <w:rFonts w:ascii="Bookman Old Style" w:eastAsia="Times New Roman" w:hAnsi="Bookman Old Style"/>
          <w:i/>
          <w:iCs/>
        </w:rPr>
        <w:t>non sarà più consentito modificare manualmente i dati delle posizioni assicurative mediante l’applicativo Passweb, come è stato fatto fino ad ora per i servizi fino al 30/09/2012; ogni modifica, anche se non interferente con l’imponibile e la durata del servizio (elementi sui quali, giustamente, serve un controllo stringente dopo il decorso dei termini di prescrizione), dovrà essere fatta mediante denuncia a variazione con flusso telematico.</w:t>
      </w:r>
    </w:p>
    <w:p w14:paraId="6977AE4A" w14:textId="77777777" w:rsidR="00EF7FB9" w:rsidRPr="00CD5B83" w:rsidRDefault="00EF7FB9" w:rsidP="00CD5B83">
      <w:pPr>
        <w:spacing w:after="80"/>
        <w:jc w:val="both"/>
        <w:rPr>
          <w:rFonts w:ascii="Bookman Old Style" w:eastAsia="Times New Roman" w:hAnsi="Bookman Old Style"/>
          <w:i/>
          <w:iCs/>
        </w:rPr>
      </w:pPr>
    </w:p>
    <w:p w14:paraId="7EC86347" w14:textId="77777777" w:rsidR="00EF7FB9" w:rsidRDefault="00EF7FB9">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3CAA7977" w14:textId="2F66333C" w:rsidR="00056022" w:rsidRPr="00B32FB7" w:rsidRDefault="008551D7"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71" w:name="_Toc121214300"/>
      <w:r w:rsidRPr="00B32FB7">
        <w:rPr>
          <w:rFonts w:ascii="Bookman Old Style" w:hAnsi="Bookman Old Style"/>
          <w:b/>
          <w:bCs/>
          <w:color w:val="2F5496" w:themeColor="accent1" w:themeShade="BF"/>
          <w:sz w:val="22"/>
          <w:szCs w:val="22"/>
        </w:rPr>
        <w:t xml:space="preserve">Sterilizzazione spesa </w:t>
      </w:r>
      <w:r w:rsidR="00193589" w:rsidRPr="00B32FB7">
        <w:rPr>
          <w:rFonts w:ascii="Bookman Old Style" w:hAnsi="Bookman Old Style"/>
          <w:b/>
          <w:bCs/>
          <w:color w:val="2F5496" w:themeColor="accent1" w:themeShade="BF"/>
          <w:sz w:val="22"/>
          <w:szCs w:val="22"/>
        </w:rPr>
        <w:t>S</w:t>
      </w:r>
      <w:r w:rsidR="00B71A9B" w:rsidRPr="00B32FB7">
        <w:rPr>
          <w:rFonts w:ascii="Bookman Old Style" w:hAnsi="Bookman Old Style"/>
          <w:b/>
          <w:bCs/>
          <w:color w:val="2F5496" w:themeColor="accent1" w:themeShade="BF"/>
          <w:sz w:val="22"/>
          <w:szCs w:val="22"/>
        </w:rPr>
        <w:t>egretari comunali</w:t>
      </w:r>
      <w:r w:rsidR="00190047" w:rsidRPr="00B32FB7">
        <w:rPr>
          <w:rFonts w:ascii="Bookman Old Style" w:hAnsi="Bookman Old Style"/>
          <w:b/>
          <w:bCs/>
          <w:color w:val="2F5496" w:themeColor="accent1" w:themeShade="BF"/>
          <w:sz w:val="22"/>
          <w:szCs w:val="22"/>
        </w:rPr>
        <w:t xml:space="preserve"> </w:t>
      </w:r>
      <w:r w:rsidR="00CB1EDB">
        <w:rPr>
          <w:rFonts w:ascii="Bookman Old Style" w:hAnsi="Bookman Old Style"/>
          <w:b/>
          <w:bCs/>
          <w:color w:val="2F5496" w:themeColor="accent1" w:themeShade="BF"/>
          <w:sz w:val="22"/>
          <w:szCs w:val="22"/>
        </w:rPr>
        <w:t>(art. 149)</w:t>
      </w:r>
      <w:bookmarkEnd w:id="71"/>
    </w:p>
    <w:p w14:paraId="0F8746EF" w14:textId="77777777" w:rsidR="00CB1EDB" w:rsidRDefault="00056022" w:rsidP="006B138F">
      <w:pPr>
        <w:spacing w:after="80"/>
        <w:jc w:val="both"/>
        <w:rPr>
          <w:rFonts w:ascii="Bookman Old Style" w:hAnsi="Bookman Old Style"/>
        </w:rPr>
      </w:pPr>
      <w:r w:rsidRPr="0046015B">
        <w:rPr>
          <w:rFonts w:ascii="Bookman Old Style" w:hAnsi="Bookman Old Style"/>
          <w:i/>
          <w:iCs/>
        </w:rPr>
        <w:t>All’articolo 14</w:t>
      </w:r>
      <w:r w:rsidR="00D652E4" w:rsidRPr="0046015B">
        <w:rPr>
          <w:rFonts w:ascii="Bookman Old Style" w:hAnsi="Bookman Old Style"/>
          <w:i/>
          <w:iCs/>
        </w:rPr>
        <w:t>9</w:t>
      </w:r>
      <w:r w:rsidR="0046015B" w:rsidRPr="0046015B">
        <w:rPr>
          <w:rFonts w:ascii="Bookman Old Style" w:hAnsi="Bookman Old Style"/>
          <w:i/>
          <w:iCs/>
        </w:rPr>
        <w:t xml:space="preserve"> </w:t>
      </w:r>
      <w:r w:rsidR="00CB1EDB">
        <w:rPr>
          <w:rFonts w:ascii="Bookman Old Style" w:hAnsi="Bookman Old Style"/>
          <w:i/>
          <w:iCs/>
        </w:rPr>
        <w:t xml:space="preserve">aggiungere in fine il </w:t>
      </w:r>
      <w:r w:rsidR="00AA09C6" w:rsidRPr="0046015B">
        <w:rPr>
          <w:rFonts w:ascii="Bookman Old Style" w:hAnsi="Bookman Old Style"/>
          <w:i/>
          <w:iCs/>
        </w:rPr>
        <w:t>seguente comma</w:t>
      </w:r>
      <w:r w:rsidR="00AA09C6" w:rsidRPr="00AA09C6">
        <w:rPr>
          <w:rFonts w:ascii="Bookman Old Style" w:hAnsi="Bookman Old Style"/>
        </w:rPr>
        <w:t xml:space="preserve">: </w:t>
      </w:r>
    </w:p>
    <w:p w14:paraId="5B625AC1" w14:textId="4B773288" w:rsidR="00AA09C6" w:rsidRDefault="00AA09C6" w:rsidP="006B138F">
      <w:pPr>
        <w:spacing w:after="80"/>
        <w:jc w:val="both"/>
      </w:pPr>
      <w:r w:rsidRPr="00AA09C6">
        <w:rPr>
          <w:rFonts w:ascii="Bookman Old Style" w:hAnsi="Bookman Old Style"/>
        </w:rPr>
        <w:t>“</w:t>
      </w:r>
      <w:r w:rsidR="00CB1EDB">
        <w:rPr>
          <w:rFonts w:ascii="Bookman Old Style" w:hAnsi="Bookman Old Style"/>
        </w:rPr>
        <w:t>5.</w:t>
      </w:r>
      <w:r w:rsidR="006B138F">
        <w:rPr>
          <w:rFonts w:ascii="Bookman Old Style" w:hAnsi="Bookman Old Style"/>
        </w:rPr>
        <w:t xml:space="preserve"> </w:t>
      </w:r>
      <w:r w:rsidRPr="00AA09C6">
        <w:rPr>
          <w:rFonts w:ascii="Bookman Old Style" w:hAnsi="Bookman Old Style"/>
        </w:rPr>
        <w:t>Per le finalità di cui al presente articolo, a decorrere dalla data entrata in vigore della presente Legge e per la durata del Piano nazionale di ripresa e resilienza (PNRR), la spesa dei segretari comunali non rileva ai fini del rispetto del limite di spesa previsto dall’art</w:t>
      </w:r>
      <w:r w:rsidR="002D4865">
        <w:rPr>
          <w:rFonts w:ascii="Bookman Old Style" w:hAnsi="Bookman Old Style"/>
        </w:rPr>
        <w:t>icolo</w:t>
      </w:r>
      <w:r w:rsidRPr="00AA09C6">
        <w:rPr>
          <w:rFonts w:ascii="Bookman Old Style" w:hAnsi="Bookman Old Style"/>
        </w:rPr>
        <w:t xml:space="preserve"> 1, commi 557-</w:t>
      </w:r>
      <w:r w:rsidRPr="002D4865">
        <w:rPr>
          <w:rFonts w:ascii="Bookman Old Style" w:hAnsi="Bookman Old Style"/>
          <w:i/>
          <w:iCs/>
        </w:rPr>
        <w:t>quater</w:t>
      </w:r>
      <w:r w:rsidRPr="00AA09C6">
        <w:rPr>
          <w:rFonts w:ascii="Bookman Old Style" w:hAnsi="Bookman Old Style"/>
        </w:rPr>
        <w:t xml:space="preserve"> e 562, della legge 27 dicembre 2006, n. 296</w:t>
      </w:r>
      <w:r w:rsidR="002D4865">
        <w:rPr>
          <w:rFonts w:ascii="Bookman Old Style" w:hAnsi="Bookman Old Style"/>
        </w:rPr>
        <w:t>,</w:t>
      </w:r>
      <w:r w:rsidRPr="00AA09C6">
        <w:rPr>
          <w:rFonts w:ascii="Bookman Old Style" w:hAnsi="Bookman Old Style"/>
        </w:rPr>
        <w:t xml:space="preserve"> né ai fini del calcolo </w:t>
      </w:r>
      <w:r w:rsidR="002D4865">
        <w:rPr>
          <w:rFonts w:ascii="Bookman Old Style" w:hAnsi="Bookman Old Style"/>
        </w:rPr>
        <w:t xml:space="preserve">del </w:t>
      </w:r>
      <w:r w:rsidRPr="00AA09C6">
        <w:rPr>
          <w:rFonts w:ascii="Bookman Old Style" w:hAnsi="Bookman Old Style"/>
        </w:rPr>
        <w:t>trattamento accessorio del personale di cui all’art</w:t>
      </w:r>
      <w:r w:rsidR="002D4865">
        <w:rPr>
          <w:rFonts w:ascii="Bookman Old Style" w:hAnsi="Bookman Old Style"/>
        </w:rPr>
        <w:t>icolo</w:t>
      </w:r>
      <w:r w:rsidRPr="00AA09C6">
        <w:rPr>
          <w:rFonts w:ascii="Bookman Old Style" w:hAnsi="Bookman Old Style"/>
        </w:rPr>
        <w:t xml:space="preserve"> 23, comma 2, del </w:t>
      </w:r>
      <w:r w:rsidR="002D4865">
        <w:rPr>
          <w:rFonts w:ascii="Bookman Old Style" w:hAnsi="Bookman Old Style"/>
        </w:rPr>
        <w:t xml:space="preserve">decreto legislativo </w:t>
      </w:r>
      <w:r w:rsidRPr="00AA09C6">
        <w:rPr>
          <w:rFonts w:ascii="Bookman Old Style" w:hAnsi="Bookman Old Style"/>
        </w:rPr>
        <w:t>25</w:t>
      </w:r>
      <w:r w:rsidR="009B294C">
        <w:rPr>
          <w:rFonts w:ascii="Bookman Old Style" w:hAnsi="Bookman Old Style"/>
        </w:rPr>
        <w:t xml:space="preserve"> maggio </w:t>
      </w:r>
      <w:r w:rsidRPr="00AA09C6">
        <w:rPr>
          <w:rFonts w:ascii="Bookman Old Style" w:hAnsi="Bookman Old Style"/>
        </w:rPr>
        <w:t>2017</w:t>
      </w:r>
      <w:r w:rsidR="009B294C">
        <w:rPr>
          <w:rFonts w:ascii="Bookman Old Style" w:hAnsi="Bookman Old Style"/>
        </w:rPr>
        <w:t>,</w:t>
      </w:r>
      <w:r w:rsidRPr="00AA09C6">
        <w:rPr>
          <w:rFonts w:ascii="Bookman Old Style" w:hAnsi="Bookman Old Style"/>
        </w:rPr>
        <w:t xml:space="preserve"> n. 75</w:t>
      </w:r>
      <w:r w:rsidR="009B294C">
        <w:rPr>
          <w:rFonts w:ascii="Bookman Old Style" w:hAnsi="Bookman Old Style"/>
        </w:rPr>
        <w:t>.</w:t>
      </w:r>
      <w:r w:rsidRPr="00AA09C6">
        <w:rPr>
          <w:rFonts w:ascii="Bookman Old Style" w:hAnsi="Bookman Old Style"/>
        </w:rPr>
        <w:t>”.</w:t>
      </w:r>
    </w:p>
    <w:p w14:paraId="7BB71B10" w14:textId="4EB2664D" w:rsidR="00B32115" w:rsidRDefault="00B32115" w:rsidP="006B138F">
      <w:pPr>
        <w:spacing w:after="80"/>
        <w:jc w:val="center"/>
        <w:rPr>
          <w:rFonts w:ascii="Bookman Old Style" w:hAnsi="Bookman Old Style" w:cs="Calibri"/>
          <w:b/>
          <w:bCs/>
          <w:lang w:eastAsia="it-IT"/>
        </w:rPr>
      </w:pPr>
      <w:r w:rsidRPr="00A20489">
        <w:rPr>
          <w:rFonts w:ascii="Bookman Old Style" w:hAnsi="Bookman Old Style" w:cs="Calibri"/>
          <w:b/>
          <w:bCs/>
          <w:lang w:eastAsia="it-IT"/>
        </w:rPr>
        <w:t>Motivazione</w:t>
      </w:r>
    </w:p>
    <w:p w14:paraId="2C985909" w14:textId="7A1025EC" w:rsidR="00E80A5E" w:rsidRPr="006B138F" w:rsidRDefault="00BE1E19" w:rsidP="006B138F">
      <w:pPr>
        <w:spacing w:after="80"/>
        <w:jc w:val="both"/>
        <w:rPr>
          <w:rFonts w:ascii="Bookman Old Style" w:hAnsi="Bookman Old Style"/>
          <w:i/>
          <w:iCs/>
        </w:rPr>
      </w:pPr>
      <w:r w:rsidRPr="006B138F">
        <w:rPr>
          <w:rFonts w:ascii="Bookman Old Style" w:hAnsi="Bookman Old Style"/>
          <w:i/>
          <w:iCs/>
        </w:rPr>
        <w:t>Per</w:t>
      </w:r>
      <w:r w:rsidR="00E80A5E" w:rsidRPr="006B138F">
        <w:rPr>
          <w:rFonts w:ascii="Bookman Old Style" w:hAnsi="Bookman Old Style"/>
          <w:i/>
          <w:iCs/>
        </w:rPr>
        <w:t xml:space="preserve"> una più stabile soluzione del problema della spesa del trattamento economico del segretario nei piccoli comuni si ritiene che l’unica misura davvero risolutiva consista nell’escluderne il trattamento economico dal computo degli attuali tetti di spesa del personale, complessivi e di trattamento accessorio. Molti nuovi iscritti all’Albo non riescono ad ottenere la prima nomina proprio a causa delle difficoltà per i piccoli enti di rispettare i vincoli in materia di spesa di personale. In altri termini, le difficoltà non solo soltanto e non sempre di reale disponibilità economica dell’ente, quanto dell’impossibilità di quest’ultimo di rispettare i vincoli di spesa del personale.</w:t>
      </w:r>
      <w:r w:rsidRPr="006B138F">
        <w:rPr>
          <w:rFonts w:ascii="Bookman Old Style" w:hAnsi="Bookman Old Style"/>
          <w:i/>
          <w:iCs/>
        </w:rPr>
        <w:t xml:space="preserve"> </w:t>
      </w:r>
    </w:p>
    <w:p w14:paraId="24AF643C" w14:textId="0D8117E0" w:rsidR="00193589" w:rsidRDefault="00193589" w:rsidP="006B138F">
      <w:pPr>
        <w:spacing w:after="80"/>
        <w:jc w:val="center"/>
        <w:rPr>
          <w:rFonts w:ascii="Bookman Old Style" w:hAnsi="Bookman Old Style" w:cs="Calibri"/>
          <w:b/>
          <w:bCs/>
          <w:lang w:eastAsia="it-IT"/>
        </w:rPr>
      </w:pPr>
    </w:p>
    <w:p w14:paraId="735B6896" w14:textId="197C98BD" w:rsidR="00193589" w:rsidRPr="00B6069C" w:rsidRDefault="00193589"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72" w:name="_Toc121214301"/>
      <w:r w:rsidRPr="00B32FB7">
        <w:rPr>
          <w:rFonts w:ascii="Bookman Old Style" w:hAnsi="Bookman Old Style"/>
          <w:b/>
          <w:bCs/>
          <w:color w:val="2F5496" w:themeColor="accent1" w:themeShade="BF"/>
          <w:sz w:val="22"/>
          <w:szCs w:val="22"/>
        </w:rPr>
        <w:t>Estensione deroga ai vincoli per le assunzioni di assistenti sociali alle forme associate comunali</w:t>
      </w:r>
      <w:bookmarkEnd w:id="72"/>
    </w:p>
    <w:p w14:paraId="14C826D3" w14:textId="77777777" w:rsidR="00193589" w:rsidRPr="00A20489" w:rsidRDefault="00193589" w:rsidP="00193589">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63 aggiungere il seguente art. 63 bis</w:t>
      </w:r>
    </w:p>
    <w:p w14:paraId="593B1A17" w14:textId="47FD314B" w:rsidR="0083474A" w:rsidRDefault="0083474A" w:rsidP="00193589">
      <w:pPr>
        <w:shd w:val="clear" w:color="auto" w:fill="FFFFFF"/>
        <w:spacing w:after="80"/>
        <w:jc w:val="both"/>
        <w:rPr>
          <w:rStyle w:val="contentpasted0"/>
          <w:rFonts w:ascii="Bookman Old Style" w:hAnsi="Bookman Old Style"/>
          <w:i/>
          <w:iCs/>
          <w:color w:val="000000"/>
        </w:rPr>
      </w:pPr>
      <w:r>
        <w:rPr>
          <w:rStyle w:val="contentpasted0"/>
          <w:rFonts w:ascii="Bookman Old Style" w:hAnsi="Bookman Old Style"/>
          <w:i/>
          <w:iCs/>
          <w:color w:val="000000"/>
        </w:rPr>
        <w:t>Art. 63-bis (</w:t>
      </w:r>
      <w:r w:rsidR="005B3E24">
        <w:rPr>
          <w:rStyle w:val="contentpasted0"/>
          <w:rFonts w:ascii="Bookman Old Style" w:hAnsi="Bookman Old Style"/>
          <w:i/>
          <w:iCs/>
          <w:color w:val="000000"/>
        </w:rPr>
        <w:t>E</w:t>
      </w:r>
      <w:r>
        <w:rPr>
          <w:rStyle w:val="contentpasted0"/>
          <w:rFonts w:ascii="Bookman Old Style" w:hAnsi="Bookman Old Style"/>
          <w:i/>
          <w:iCs/>
          <w:color w:val="000000"/>
        </w:rPr>
        <w:t xml:space="preserve">stensione deroga ai vincoli </w:t>
      </w:r>
      <w:r w:rsidR="005B3E24">
        <w:rPr>
          <w:rStyle w:val="contentpasted0"/>
          <w:rFonts w:ascii="Bookman Old Style" w:hAnsi="Bookman Old Style"/>
          <w:i/>
          <w:iCs/>
          <w:color w:val="000000"/>
        </w:rPr>
        <w:t>per assunzioni assistenti sociali in caso di forme associate comunali)</w:t>
      </w:r>
    </w:p>
    <w:p w14:paraId="5D862885" w14:textId="5E74F11B" w:rsidR="00193589" w:rsidRPr="005B3E24" w:rsidRDefault="005B3E24" w:rsidP="00193589">
      <w:pPr>
        <w:shd w:val="clear" w:color="auto" w:fill="FFFFFF"/>
        <w:spacing w:after="80"/>
        <w:jc w:val="both"/>
        <w:rPr>
          <w:rFonts w:ascii="Bookman Old Style" w:hAnsi="Bookman Old Style"/>
        </w:rPr>
      </w:pPr>
      <w:r w:rsidRPr="005B3E24">
        <w:rPr>
          <w:rStyle w:val="contentpasted0"/>
          <w:rFonts w:ascii="Bookman Old Style" w:hAnsi="Bookman Old Style"/>
          <w:color w:val="000000"/>
        </w:rPr>
        <w:t xml:space="preserve">1. </w:t>
      </w:r>
      <w:r w:rsidR="00193589" w:rsidRPr="005B3E24">
        <w:rPr>
          <w:rStyle w:val="contentpasted0"/>
          <w:rFonts w:ascii="Bookman Old Style" w:hAnsi="Bookman Old Style"/>
          <w:color w:val="000000"/>
        </w:rPr>
        <w:t>All’articolo 1 comma 801 della legge n.178 del 30 dicembre 2020 dopo le parole: “Per le finalità di cui al comma 797, a valere sulle risorse di cui al comma 799 e nel limite delle stesse nonché dei vincoli assunzionali di cui all’articolo 33 del decreto-legge 30 aprile 2019, n. 34, convertito, con modificazioni, dalla legge 28 giugno 2019,</w:t>
      </w:r>
      <w:r>
        <w:rPr>
          <w:rStyle w:val="contentpasted0"/>
          <w:rFonts w:ascii="Bookman Old Style" w:hAnsi="Bookman Old Style"/>
          <w:color w:val="000000"/>
        </w:rPr>
        <w:t xml:space="preserve"> </w:t>
      </w:r>
      <w:r w:rsidR="00193589" w:rsidRPr="005B3E24">
        <w:rPr>
          <w:rStyle w:val="contentpasted0"/>
          <w:rFonts w:ascii="Bookman Old Style" w:hAnsi="Bookman Old Style"/>
          <w:color w:val="000000"/>
        </w:rPr>
        <w:t>n. 58, i comuni”</w:t>
      </w:r>
      <w:r>
        <w:rPr>
          <w:rStyle w:val="contentpasted0"/>
          <w:rFonts w:ascii="Bookman Old Style" w:hAnsi="Bookman Old Style"/>
          <w:color w:val="000000"/>
        </w:rPr>
        <w:t>,</w:t>
      </w:r>
      <w:r w:rsidR="00193589" w:rsidRPr="005B3E24">
        <w:rPr>
          <w:rStyle w:val="contentpasted0"/>
          <w:rFonts w:ascii="Bookman Old Style" w:hAnsi="Bookman Old Style"/>
          <w:color w:val="000000"/>
        </w:rPr>
        <w:t xml:space="preserve"> inserire le parole “e le loro forme associative”</w:t>
      </w:r>
      <w:r w:rsidR="00193589" w:rsidRPr="005B3E24">
        <w:rPr>
          <w:rStyle w:val="contentpasted0"/>
          <w:rFonts w:ascii="Bookman Old Style" w:hAnsi="Bookman Old Style"/>
          <w:b/>
          <w:bCs/>
          <w:color w:val="000000"/>
        </w:rPr>
        <w:t> </w:t>
      </w:r>
    </w:p>
    <w:p w14:paraId="7ECD552C" w14:textId="77777777" w:rsidR="00193589" w:rsidRPr="00A20489" w:rsidRDefault="00193589" w:rsidP="00193589">
      <w:pPr>
        <w:shd w:val="clear" w:color="auto" w:fill="FFFFFF"/>
        <w:spacing w:after="80"/>
        <w:jc w:val="center"/>
        <w:rPr>
          <w:rFonts w:ascii="Bookman Old Style" w:hAnsi="Bookman Old Style"/>
          <w:b/>
          <w:bCs/>
        </w:rPr>
      </w:pPr>
      <w:r w:rsidRPr="00A20489">
        <w:rPr>
          <w:rStyle w:val="contentpasted0"/>
          <w:rFonts w:ascii="Bookman Old Style" w:hAnsi="Bookman Old Style"/>
          <w:b/>
          <w:bCs/>
          <w:color w:val="000000"/>
        </w:rPr>
        <w:t>Motivazione</w:t>
      </w:r>
    </w:p>
    <w:p w14:paraId="2649778A" w14:textId="1B84B14F" w:rsidR="00193589" w:rsidRPr="00A20489" w:rsidRDefault="00193589" w:rsidP="00193589">
      <w:pPr>
        <w:shd w:val="clear" w:color="auto" w:fill="FFFFFF"/>
        <w:spacing w:after="80"/>
        <w:jc w:val="both"/>
        <w:rPr>
          <w:rFonts w:ascii="Bookman Old Style" w:hAnsi="Bookman Old Style"/>
          <w:i/>
          <w:iCs/>
          <w:color w:val="000000"/>
        </w:rPr>
      </w:pPr>
      <w:r w:rsidRPr="00A20489">
        <w:rPr>
          <w:rStyle w:val="contentpasted0"/>
          <w:rFonts w:ascii="Bookman Old Style" w:hAnsi="Bookman Old Style"/>
          <w:i/>
          <w:iCs/>
          <w:color w:val="000000"/>
        </w:rPr>
        <w:t>Alla luce dell’interpretazione della Corte dei Conti che con la deliberazione n. 138/2022/PAR ha stabilito che</w:t>
      </w:r>
      <w:r w:rsidR="00901A9A">
        <w:rPr>
          <w:rStyle w:val="contentpasted0"/>
          <w:rFonts w:ascii="Bookman Old Style" w:hAnsi="Bookman Old Style"/>
          <w:i/>
          <w:iCs/>
          <w:color w:val="000000"/>
        </w:rPr>
        <w:t xml:space="preserve"> </w:t>
      </w:r>
      <w:r w:rsidRPr="00A20489">
        <w:rPr>
          <w:rStyle w:val="contentpasted0"/>
          <w:rFonts w:ascii="Bookman Old Style" w:hAnsi="Bookman Old Style"/>
          <w:i/>
          <w:iCs/>
          <w:color w:val="000000"/>
        </w:rPr>
        <w:t>le assunzioni di assistenti sociali a valere sulle somme individuate dai commi 797 e seguenti della legge 178/2020 non possono essere effettuate dalle Unioni di comuni derogando ai propri limiti in tema di capacità assunzionale, si rende necessario proporre una modifica normativa al comma 801, della legge 30 dicembre 2020, n. 178 per estendere l</w:t>
      </w:r>
      <w:r w:rsidRPr="00A20489">
        <w:rPr>
          <w:rFonts w:ascii="Bookman Old Style" w:hAnsi="Bookman Old Style"/>
          <w:i/>
          <w:iCs/>
          <w:color w:val="000000"/>
        </w:rPr>
        <w:t>e deroghe in materia di assunzioni anche alle forme associate comunali.</w:t>
      </w:r>
    </w:p>
    <w:p w14:paraId="04C2E9D7" w14:textId="77777777" w:rsidR="00193589" w:rsidRPr="00A20489" w:rsidRDefault="00193589" w:rsidP="00193589">
      <w:pPr>
        <w:shd w:val="clear" w:color="auto" w:fill="FFFFFF"/>
        <w:spacing w:after="80"/>
        <w:jc w:val="both"/>
        <w:rPr>
          <w:rFonts w:ascii="Bookman Old Style" w:hAnsi="Bookman Old Style"/>
          <w:i/>
          <w:iCs/>
        </w:rPr>
      </w:pPr>
    </w:p>
    <w:p w14:paraId="4EAFD713" w14:textId="77777777" w:rsidR="00EF7FB9" w:rsidRDefault="00EF7FB9">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44919EF8" w14:textId="68959CDE" w:rsidR="00193589" w:rsidRPr="00B32FB7" w:rsidRDefault="00193589"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73" w:name="_Toc121214302"/>
      <w:r w:rsidRPr="00B32FB7">
        <w:rPr>
          <w:rFonts w:ascii="Bookman Old Style" w:hAnsi="Bookman Old Style"/>
          <w:b/>
          <w:bCs/>
          <w:color w:val="2F5496" w:themeColor="accent1" w:themeShade="BF"/>
          <w:sz w:val="22"/>
          <w:szCs w:val="22"/>
        </w:rPr>
        <w:t>Estensione deroga ai vincoli per le assunzioni di assistenti sociali effettuate a valere sulle risorse del FNA (Fondo non autosufficienze) per il rafforzamento delle UVM (unità di valutazione) presso i PUA (punti unici di accesso)</w:t>
      </w:r>
      <w:bookmarkEnd w:id="73"/>
    </w:p>
    <w:p w14:paraId="56235102" w14:textId="2A199215" w:rsidR="00124959" w:rsidRPr="00A20489" w:rsidRDefault="00124959" w:rsidP="00124959">
      <w:pPr>
        <w:pStyle w:val="Testonormale"/>
        <w:shd w:val="clear" w:color="auto" w:fill="FFFFFF"/>
        <w:spacing w:after="80" w:line="259" w:lineRule="auto"/>
        <w:jc w:val="both"/>
        <w:rPr>
          <w:rFonts w:ascii="Bookman Old Style" w:hAnsi="Bookman Old Style"/>
          <w:i/>
          <w:iCs/>
          <w:szCs w:val="22"/>
        </w:rPr>
      </w:pPr>
      <w:r w:rsidRPr="00A20489">
        <w:rPr>
          <w:rFonts w:ascii="Bookman Old Style" w:hAnsi="Bookman Old Style"/>
          <w:i/>
          <w:iCs/>
          <w:szCs w:val="22"/>
        </w:rPr>
        <w:t>Dopo l’art. 63 aggiungere il seguente art. 63</w:t>
      </w:r>
      <w:r>
        <w:rPr>
          <w:rFonts w:ascii="Bookman Old Style" w:hAnsi="Bookman Old Style"/>
          <w:i/>
          <w:iCs/>
          <w:szCs w:val="22"/>
        </w:rPr>
        <w:t>-</w:t>
      </w:r>
      <w:r w:rsidRPr="00A20489">
        <w:rPr>
          <w:rFonts w:ascii="Bookman Old Style" w:hAnsi="Bookman Old Style"/>
          <w:i/>
          <w:iCs/>
          <w:szCs w:val="22"/>
        </w:rPr>
        <w:t>bis</w:t>
      </w:r>
    </w:p>
    <w:p w14:paraId="06C72B55" w14:textId="06A72604" w:rsidR="00124959" w:rsidRPr="00A20489" w:rsidRDefault="00124959" w:rsidP="009C1C7D">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Art.</w:t>
      </w:r>
      <w:r w:rsidRPr="00A20489">
        <w:rPr>
          <w:rFonts w:ascii="Bookman Old Style" w:hAnsi="Bookman Old Style"/>
          <w:i/>
          <w:iCs/>
          <w:sz w:val="22"/>
          <w:szCs w:val="22"/>
        </w:rPr>
        <w:t xml:space="preserve">63 </w:t>
      </w:r>
      <w:r w:rsidR="009C1C7D">
        <w:rPr>
          <w:rFonts w:ascii="Bookman Old Style" w:hAnsi="Bookman Old Style"/>
          <w:i/>
          <w:iCs/>
          <w:sz w:val="22"/>
          <w:szCs w:val="22"/>
        </w:rPr>
        <w:t>(Assunzioni assistenti sociali presso i servizi sociali comunali</w:t>
      </w:r>
    </w:p>
    <w:p w14:paraId="06049D72" w14:textId="2CA870B6" w:rsidR="00193589" w:rsidRPr="00A20489" w:rsidRDefault="00193589" w:rsidP="00193589">
      <w:pPr>
        <w:pStyle w:val="Testonormale"/>
        <w:shd w:val="clear" w:color="auto" w:fill="FFFFFF"/>
        <w:spacing w:after="80" w:line="259" w:lineRule="auto"/>
        <w:jc w:val="both"/>
        <w:rPr>
          <w:rFonts w:ascii="Bookman Old Style" w:hAnsi="Bookman Old Style"/>
          <w:color w:val="000000"/>
          <w:szCs w:val="22"/>
          <w:shd w:val="clear" w:color="auto" w:fill="FFFFFF"/>
        </w:rPr>
      </w:pPr>
      <w:r w:rsidRPr="00A20489">
        <w:rPr>
          <w:rStyle w:val="contentpasted0"/>
          <w:rFonts w:ascii="Bookman Old Style" w:hAnsi="Bookman Old Style"/>
          <w:color w:val="000000"/>
          <w:szCs w:val="22"/>
        </w:rPr>
        <w:t>“Al fine di garantire personale adeguatamente formato e numericamente sufficiente per il potenziamento dei servizi di domiciliarità e di sostegno a favore delle persone non autosufficienti di cui all’articolo 1, comma 162 della legge 30 dicembre 2021 n. 234, nonché per la costituzione e il rafforzamento di equipe integrate presso i punti unici di accesso di cui al comma 163 del medesimo articolo,</w:t>
      </w:r>
      <w:r w:rsidRPr="00A20489">
        <w:rPr>
          <w:rStyle w:val="contentpasted0"/>
          <w:rFonts w:ascii="Bookman Old Style" w:hAnsi="Bookman Old Style"/>
          <w:color w:val="000000"/>
          <w:szCs w:val="22"/>
          <w:shd w:val="clear" w:color="auto" w:fill="FFFFFF"/>
        </w:rPr>
        <w:t xml:space="preserve"> i </w:t>
      </w:r>
      <w:r w:rsidR="009C1C7D">
        <w:rPr>
          <w:rStyle w:val="contentpasted0"/>
          <w:rFonts w:ascii="Bookman Old Style" w:hAnsi="Bookman Old Style"/>
          <w:color w:val="000000"/>
          <w:szCs w:val="22"/>
          <w:shd w:val="clear" w:color="auto" w:fill="FFFFFF"/>
        </w:rPr>
        <w:t>c</w:t>
      </w:r>
      <w:r w:rsidRPr="00A20489">
        <w:rPr>
          <w:rStyle w:val="contentpasted0"/>
          <w:rFonts w:ascii="Bookman Old Style" w:hAnsi="Bookman Old Style"/>
          <w:color w:val="000000"/>
          <w:szCs w:val="22"/>
          <w:shd w:val="clear" w:color="auto" w:fill="FFFFFF"/>
        </w:rPr>
        <w:t>omuni possono effettuare assunzioni di assistenti sociali, con rapporto di lavoro a tempo indeterminato a valere sulle risorse di cui all’articolo 1,</w:t>
      </w:r>
      <w:r w:rsidR="00901A9A">
        <w:rPr>
          <w:rStyle w:val="contentpasted0"/>
          <w:rFonts w:ascii="Bookman Old Style" w:hAnsi="Bookman Old Style"/>
          <w:color w:val="000000"/>
          <w:szCs w:val="22"/>
          <w:shd w:val="clear" w:color="auto" w:fill="FFFFFF"/>
        </w:rPr>
        <w:t xml:space="preserve"> </w:t>
      </w:r>
      <w:r w:rsidRPr="00A20489">
        <w:rPr>
          <w:rStyle w:val="contentpasted0"/>
          <w:rFonts w:ascii="Bookman Old Style" w:hAnsi="Bookman Old Style"/>
          <w:color w:val="000000"/>
          <w:szCs w:val="22"/>
          <w:shd w:val="clear" w:color="auto" w:fill="FFFFFF"/>
        </w:rPr>
        <w:t>comma 168 della legge 30 dicembre 2021 n. 234, fermo restando il</w:t>
      </w:r>
      <w:r w:rsidR="00901A9A">
        <w:rPr>
          <w:rStyle w:val="contentpasted0"/>
          <w:rFonts w:ascii="Bookman Old Style" w:hAnsi="Bookman Old Style"/>
          <w:color w:val="000000"/>
          <w:szCs w:val="22"/>
          <w:shd w:val="clear" w:color="auto" w:fill="FFFFFF"/>
        </w:rPr>
        <w:t xml:space="preserve"> </w:t>
      </w:r>
      <w:r w:rsidRPr="00A20489">
        <w:rPr>
          <w:rStyle w:val="contentpasted0"/>
          <w:rFonts w:ascii="Bookman Old Style" w:hAnsi="Bookman Old Style"/>
          <w:color w:val="000000"/>
          <w:szCs w:val="22"/>
          <w:shd w:val="clear" w:color="auto" w:fill="FFFFFF"/>
        </w:rPr>
        <w:t>rispetto degli equilibri di bilancio, in</w:t>
      </w:r>
      <w:r w:rsidR="00901A9A">
        <w:rPr>
          <w:rStyle w:val="contentpasted0"/>
          <w:rFonts w:ascii="Bookman Old Style" w:hAnsi="Bookman Old Style"/>
          <w:color w:val="000000"/>
          <w:szCs w:val="22"/>
          <w:shd w:val="clear" w:color="auto" w:fill="FFFFFF"/>
        </w:rPr>
        <w:t xml:space="preserve"> </w:t>
      </w:r>
      <w:r w:rsidRPr="00A20489">
        <w:rPr>
          <w:rStyle w:val="contentpasted0"/>
          <w:rFonts w:ascii="Bookman Old Style" w:hAnsi="Bookman Old Style"/>
          <w:color w:val="000000"/>
          <w:szCs w:val="22"/>
          <w:shd w:val="clear" w:color="auto" w:fill="FFFFFF"/>
        </w:rPr>
        <w:t>deroga</w:t>
      </w:r>
      <w:r w:rsidR="00901A9A">
        <w:rPr>
          <w:rStyle w:val="contentpasted0"/>
          <w:rFonts w:ascii="Bookman Old Style" w:hAnsi="Bookman Old Style"/>
          <w:color w:val="000000"/>
          <w:szCs w:val="22"/>
          <w:shd w:val="clear" w:color="auto" w:fill="FFFFFF"/>
        </w:rPr>
        <w:t xml:space="preserve"> </w:t>
      </w:r>
      <w:r w:rsidRPr="00A20489">
        <w:rPr>
          <w:rStyle w:val="contentpasted0"/>
          <w:rFonts w:ascii="Bookman Old Style" w:hAnsi="Bookman Old Style"/>
          <w:color w:val="000000"/>
          <w:szCs w:val="22"/>
          <w:shd w:val="clear" w:color="auto" w:fill="FFFFFF"/>
        </w:rPr>
        <w:t>ai</w:t>
      </w:r>
      <w:r w:rsidR="00901A9A">
        <w:rPr>
          <w:rStyle w:val="contentpasted0"/>
          <w:rFonts w:ascii="Bookman Old Style" w:hAnsi="Bookman Old Style"/>
          <w:color w:val="000000"/>
          <w:szCs w:val="22"/>
          <w:shd w:val="clear" w:color="auto" w:fill="FFFFFF"/>
        </w:rPr>
        <w:t xml:space="preserve"> </w:t>
      </w:r>
      <w:r w:rsidRPr="00A20489">
        <w:rPr>
          <w:rStyle w:val="contentpasted0"/>
          <w:rFonts w:ascii="Bookman Old Style" w:hAnsi="Bookman Old Style"/>
          <w:color w:val="000000"/>
          <w:szCs w:val="22"/>
          <w:shd w:val="clear" w:color="auto" w:fill="FFFFFF"/>
        </w:rPr>
        <w:t>vincoli</w:t>
      </w:r>
      <w:r w:rsidR="00901A9A">
        <w:rPr>
          <w:rStyle w:val="contentpasted0"/>
          <w:rFonts w:ascii="Bookman Old Style" w:hAnsi="Bookman Old Style"/>
          <w:color w:val="000000"/>
          <w:szCs w:val="22"/>
          <w:shd w:val="clear" w:color="auto" w:fill="FFFFFF"/>
        </w:rPr>
        <w:t xml:space="preserve"> </w:t>
      </w:r>
      <w:r w:rsidRPr="00A20489">
        <w:rPr>
          <w:rStyle w:val="contentpasted0"/>
          <w:rFonts w:ascii="Bookman Old Style" w:hAnsi="Bookman Old Style"/>
          <w:color w:val="000000"/>
          <w:szCs w:val="22"/>
          <w:shd w:val="clear" w:color="auto" w:fill="FFFFFF"/>
        </w:rPr>
        <w:t xml:space="preserve">di contenimento della spesa di personale di cui all'articolo 9, comma 28 del decreto-legge 31 maggio 2010, n. 78, convertito, </w:t>
      </w:r>
      <w:r w:rsidRPr="00A20489">
        <w:rPr>
          <w:rStyle w:val="contentpasted0"/>
          <w:rFonts w:ascii="Bookman Old Style" w:hAnsi="Bookman Old Style"/>
          <w:color w:val="000000"/>
          <w:szCs w:val="22"/>
        </w:rPr>
        <w:t>con modificazioni, dalla legge 30 luglio 2010, n. 122, e all'articolo 1, commi 557 e 562, della legge 27 dicembre 2006, n. 296, anche ai sensi dell'articolo 57, comma 3-septies, del decreto-legge 14 agosto 2020, n. 104, convertito, con modificazioni, dalla legge 13 ottobre 2020, n. 126.</w:t>
      </w:r>
    </w:p>
    <w:p w14:paraId="7A18D230" w14:textId="77777777" w:rsidR="00193589" w:rsidRPr="00A20489" w:rsidRDefault="00193589" w:rsidP="00193589">
      <w:pPr>
        <w:pStyle w:val="Testonormale"/>
        <w:shd w:val="clear" w:color="auto" w:fill="FFFFFF"/>
        <w:spacing w:after="80" w:line="259" w:lineRule="auto"/>
        <w:jc w:val="center"/>
        <w:rPr>
          <w:rFonts w:ascii="Bookman Old Style" w:hAnsi="Bookman Old Style"/>
          <w:b/>
          <w:bCs/>
          <w:szCs w:val="22"/>
        </w:rPr>
      </w:pPr>
      <w:r w:rsidRPr="00A20489">
        <w:rPr>
          <w:rStyle w:val="contentpasted0"/>
          <w:rFonts w:ascii="Bookman Old Style" w:hAnsi="Bookman Old Style"/>
          <w:b/>
          <w:bCs/>
          <w:color w:val="000000"/>
          <w:szCs w:val="22"/>
        </w:rPr>
        <w:t>Motivazione</w:t>
      </w:r>
    </w:p>
    <w:p w14:paraId="254468FC" w14:textId="63D0EF67" w:rsidR="00193589" w:rsidRPr="00A20489" w:rsidRDefault="00193589" w:rsidP="00193589">
      <w:pPr>
        <w:pStyle w:val="Testonormale"/>
        <w:shd w:val="clear" w:color="auto" w:fill="FFFFFF"/>
        <w:spacing w:after="80" w:line="259" w:lineRule="auto"/>
        <w:jc w:val="both"/>
        <w:rPr>
          <w:rFonts w:ascii="Bookman Old Style" w:hAnsi="Bookman Old Style"/>
          <w:i/>
          <w:iCs/>
          <w:szCs w:val="22"/>
        </w:rPr>
      </w:pPr>
      <w:r w:rsidRPr="00A20489">
        <w:rPr>
          <w:rStyle w:val="contentpasted0"/>
          <w:rFonts w:ascii="Bookman Old Style" w:hAnsi="Bookman Old Style"/>
          <w:i/>
          <w:iCs/>
          <w:color w:val="000000"/>
          <w:szCs w:val="22"/>
        </w:rPr>
        <w:t>Analogamente a quanto previsto per le assunzioni a tempo indeterminato di assistenti sociali a valere sulle risorse del Fondo Povertà, si ritiene necessario estendere la deroga ai vincoli assunzionali anche alle assunzioni effettuate a valere sulle risorse del Fondo non autosufficienze per il rafforzamento delle UVM (unità di valutazione) presso i PUA (punti unici di accesso).</w:t>
      </w:r>
      <w:r w:rsidR="00901A9A">
        <w:rPr>
          <w:rStyle w:val="contentpasted0"/>
          <w:rFonts w:ascii="Bookman Old Style" w:hAnsi="Bookman Old Style"/>
          <w:i/>
          <w:iCs/>
          <w:color w:val="000000"/>
          <w:szCs w:val="22"/>
        </w:rPr>
        <w:t xml:space="preserve"> </w:t>
      </w:r>
    </w:p>
    <w:p w14:paraId="681517B5" w14:textId="60CCE79C" w:rsidR="006B6026" w:rsidRDefault="006B6026">
      <w:pPr>
        <w:rPr>
          <w:rFonts w:ascii="Bookman Old Style" w:eastAsiaTheme="majorEastAsia" w:hAnsi="Bookman Old Style" w:cstheme="majorBidi"/>
          <w:b/>
          <w:bCs/>
          <w:color w:val="2F5496" w:themeColor="accent1" w:themeShade="BF"/>
          <w:highlight w:val="yellow"/>
        </w:rPr>
      </w:pPr>
      <w:bookmarkStart w:id="74" w:name="_Toc118387478"/>
    </w:p>
    <w:p w14:paraId="05F31409" w14:textId="77777777" w:rsidR="00BD580D" w:rsidRPr="00AD33C8" w:rsidRDefault="00BD580D">
      <w:pPr>
        <w:rPr>
          <w:rFonts w:ascii="Bookman Old Style" w:eastAsiaTheme="majorEastAsia" w:hAnsi="Bookman Old Style" w:cstheme="majorBidi"/>
          <w:b/>
          <w:bCs/>
          <w:color w:val="2F5496" w:themeColor="accent1" w:themeShade="BF"/>
          <w:highlight w:val="yellow"/>
        </w:rPr>
      </w:pPr>
    </w:p>
    <w:p w14:paraId="181EA34C" w14:textId="192A321A" w:rsidR="002A668B" w:rsidRDefault="002A668B" w:rsidP="00321948">
      <w:pPr>
        <w:pStyle w:val="Titolo1"/>
        <w:spacing w:before="0" w:after="80"/>
        <w:rPr>
          <w:rFonts w:ascii="Bookman Old Style" w:hAnsi="Bookman Old Style"/>
          <w:b/>
          <w:bCs/>
          <w:sz w:val="22"/>
          <w:szCs w:val="22"/>
        </w:rPr>
      </w:pPr>
      <w:bookmarkStart w:id="75" w:name="_Toc121214303"/>
      <w:r w:rsidRPr="00143D0B">
        <w:rPr>
          <w:rFonts w:ascii="Bookman Old Style" w:hAnsi="Bookman Old Style"/>
          <w:b/>
          <w:bCs/>
          <w:sz w:val="22"/>
          <w:szCs w:val="22"/>
        </w:rPr>
        <w:t>MOBILITA’ ED ENERGIA</w:t>
      </w:r>
      <w:bookmarkEnd w:id="74"/>
      <w:bookmarkEnd w:id="75"/>
      <w:r w:rsidR="004A344C" w:rsidRPr="00143D0B">
        <w:rPr>
          <w:rFonts w:ascii="Bookman Old Style" w:hAnsi="Bookman Old Style"/>
          <w:b/>
          <w:bCs/>
          <w:sz w:val="22"/>
          <w:szCs w:val="22"/>
        </w:rPr>
        <w:t xml:space="preserve"> </w:t>
      </w:r>
    </w:p>
    <w:p w14:paraId="2DBF7009" w14:textId="77777777" w:rsidR="00A33E98" w:rsidRPr="00A33E98" w:rsidRDefault="00A33E98" w:rsidP="00A33E98"/>
    <w:p w14:paraId="2F468B73" w14:textId="2A8A6596" w:rsidR="00AD33C8" w:rsidRPr="0066482C" w:rsidRDefault="00AD33C8"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76" w:name="_Toc120881120"/>
      <w:bookmarkStart w:id="77" w:name="_Toc121214304"/>
      <w:r w:rsidRPr="0066482C">
        <w:rPr>
          <w:rFonts w:ascii="Bookman Old Style" w:hAnsi="Bookman Old Style"/>
          <w:b/>
          <w:bCs/>
          <w:color w:val="2F5496" w:themeColor="accent1" w:themeShade="BF"/>
          <w:sz w:val="22"/>
          <w:szCs w:val="22"/>
        </w:rPr>
        <w:t>Cessione di energia da impianti fossili</w:t>
      </w:r>
      <w:bookmarkEnd w:id="76"/>
      <w:bookmarkEnd w:id="77"/>
    </w:p>
    <w:p w14:paraId="406093F1" w14:textId="464B2680" w:rsidR="00AD33C8" w:rsidRPr="008439ED" w:rsidRDefault="00AD33C8" w:rsidP="00AD33C8">
      <w:pPr>
        <w:pStyle w:val="PreformattatoHTML"/>
        <w:shd w:val="clear" w:color="auto" w:fill="FFFFFF"/>
        <w:spacing w:after="80" w:line="259" w:lineRule="auto"/>
        <w:jc w:val="both"/>
        <w:rPr>
          <w:rFonts w:ascii="Bookman Old Style" w:hAnsi="Bookman Old Style"/>
          <w:i/>
          <w:iCs/>
          <w:sz w:val="22"/>
          <w:szCs w:val="22"/>
        </w:rPr>
      </w:pPr>
      <w:r w:rsidRPr="008439ED">
        <w:rPr>
          <w:rFonts w:ascii="Bookman Old Style" w:hAnsi="Bookman Old Style"/>
          <w:i/>
          <w:iCs/>
          <w:sz w:val="22"/>
          <w:szCs w:val="22"/>
        </w:rPr>
        <w:t xml:space="preserve">Dopo l’art. 2 </w:t>
      </w:r>
      <w:r w:rsidR="008439ED" w:rsidRPr="008439ED">
        <w:rPr>
          <w:rFonts w:ascii="Bookman Old Style" w:hAnsi="Bookman Old Style"/>
          <w:i/>
          <w:iCs/>
          <w:sz w:val="22"/>
          <w:szCs w:val="22"/>
        </w:rPr>
        <w:t xml:space="preserve">del ddl Bilancio 2023, </w:t>
      </w:r>
      <w:r w:rsidRPr="008439ED">
        <w:rPr>
          <w:rFonts w:ascii="Bookman Old Style" w:hAnsi="Bookman Old Style"/>
          <w:i/>
          <w:iCs/>
          <w:sz w:val="22"/>
          <w:szCs w:val="22"/>
        </w:rPr>
        <w:t>aggiungere il seguente art. 2 bis:</w:t>
      </w:r>
    </w:p>
    <w:p w14:paraId="5418643C" w14:textId="77777777" w:rsidR="00AD33C8" w:rsidRPr="004B276E" w:rsidRDefault="00AD33C8" w:rsidP="00BD580D">
      <w:pPr>
        <w:spacing w:after="80"/>
        <w:jc w:val="both"/>
        <w:textAlignment w:val="baseline"/>
        <w:rPr>
          <w:rFonts w:ascii="Bookman Old Style" w:hAnsi="Bookman Old Style"/>
        </w:rPr>
      </w:pPr>
      <w:r w:rsidRPr="004B276E">
        <w:rPr>
          <w:rFonts w:ascii="Bookman Old Style" w:hAnsi="Bookman Old Style"/>
        </w:rPr>
        <w:t xml:space="preserve">“Al fine di preservare la competitività del sistema economico a fronte dei rincari dei costi energetici, i titolari di impianti di produzione energetica fossile destinano una quota della produzione degli impianti, a prezzi calmierati, al sostegno delle attività produttive energivore e delle comunità dei territori in cui tali impianti sono localizzati. Con specifico decreto ministeriale, da emanarsi entro 60 giorni dalla pubblicazione del presente provvedimento, il Ministero dello sviluppo economico, di concerto con il Ministero dell’Ambiente e della Sicurezza energetica e con il Ministero delle Economie e Finanze, d’intesa con la Conferenza Unificata, definisce modalità, beneficiari e regole tecniche”. </w:t>
      </w:r>
    </w:p>
    <w:p w14:paraId="46CA29EA" w14:textId="77777777" w:rsidR="00AD33C8" w:rsidRPr="004B276E" w:rsidRDefault="00AD33C8" w:rsidP="00AD33C8">
      <w:pPr>
        <w:widowControl w:val="0"/>
        <w:suppressAutoHyphens/>
        <w:spacing w:after="80"/>
        <w:jc w:val="center"/>
        <w:rPr>
          <w:rFonts w:ascii="Bookman Old Style" w:eastAsia="SimSun" w:hAnsi="Bookman Old Style" w:cs="Lucida Sans"/>
          <w:b/>
          <w:bCs/>
          <w:kern w:val="1"/>
          <w:lang w:eastAsia="hi-IN" w:bidi="hi-IN"/>
        </w:rPr>
      </w:pPr>
      <w:r w:rsidRPr="004B276E">
        <w:rPr>
          <w:rFonts w:ascii="Bookman Old Style" w:eastAsia="SimSun" w:hAnsi="Bookman Old Style" w:cs="Lucida Sans"/>
          <w:b/>
          <w:bCs/>
          <w:kern w:val="1"/>
          <w:lang w:eastAsia="hi-IN" w:bidi="hi-IN"/>
        </w:rPr>
        <w:t>Motivazione</w:t>
      </w:r>
    </w:p>
    <w:p w14:paraId="54B6C0DC" w14:textId="77777777" w:rsidR="00AD33C8" w:rsidRPr="00EB0D2E" w:rsidRDefault="00AD33C8" w:rsidP="00AD33C8">
      <w:pPr>
        <w:spacing w:after="80"/>
        <w:jc w:val="both"/>
        <w:rPr>
          <w:rFonts w:ascii="Bookman Old Style" w:hAnsi="Bookman Old Style"/>
          <w:i/>
          <w:iCs/>
        </w:rPr>
      </w:pPr>
      <w:r w:rsidRPr="00EB0D2E">
        <w:rPr>
          <w:rFonts w:ascii="Bookman Old Style" w:hAnsi="Bookman Old Style"/>
          <w:i/>
          <w:iCs/>
        </w:rPr>
        <w:t>Fermi restando contributi e ristori sui comparti maggiormente energivori, sulle attività artigianali e industriali e sulle comunità locali, oggi gravemente e nuovamente colpite, si ritiene importante creare un collegamento in termini di contributo diretto tra i siti produttivi energetici fossili e la comunità locale.</w:t>
      </w:r>
    </w:p>
    <w:p w14:paraId="0211A360" w14:textId="77777777" w:rsidR="00AD33C8" w:rsidRPr="00EB0D2E" w:rsidRDefault="00AD33C8" w:rsidP="00AD33C8">
      <w:pPr>
        <w:spacing w:after="80"/>
        <w:jc w:val="both"/>
        <w:rPr>
          <w:rFonts w:ascii="Bookman Old Style" w:hAnsi="Bookman Old Style"/>
          <w:i/>
          <w:iCs/>
        </w:rPr>
      </w:pPr>
    </w:p>
    <w:p w14:paraId="79B5391E" w14:textId="65779A0D" w:rsidR="00AD33C8" w:rsidRPr="004B276E" w:rsidRDefault="00AD33C8"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78" w:name="_Toc120881121"/>
      <w:bookmarkStart w:id="79" w:name="_Toc121214305"/>
      <w:r w:rsidRPr="004B276E">
        <w:rPr>
          <w:rFonts w:ascii="Bookman Old Style" w:hAnsi="Bookman Old Style"/>
          <w:b/>
          <w:bCs/>
          <w:color w:val="2F5496" w:themeColor="accent1" w:themeShade="BF"/>
          <w:sz w:val="22"/>
          <w:szCs w:val="22"/>
        </w:rPr>
        <w:t>Riqualificazione energetica del patrimonio edilizio pubblico</w:t>
      </w:r>
      <w:bookmarkEnd w:id="78"/>
      <w:bookmarkEnd w:id="79"/>
    </w:p>
    <w:p w14:paraId="385D2A4A" w14:textId="77777777" w:rsidR="00AD33C8" w:rsidRPr="0039665E" w:rsidRDefault="00AD33C8" w:rsidP="00BF6F7C">
      <w:pPr>
        <w:pStyle w:val="PreformattatoHTML"/>
        <w:shd w:val="clear" w:color="auto" w:fill="FFFFFF"/>
        <w:spacing w:after="80" w:line="259" w:lineRule="auto"/>
        <w:jc w:val="both"/>
        <w:rPr>
          <w:rFonts w:ascii="Bookman Old Style" w:hAnsi="Bookman Old Style"/>
          <w:i/>
          <w:iCs/>
          <w:sz w:val="22"/>
          <w:szCs w:val="22"/>
        </w:rPr>
      </w:pPr>
      <w:r w:rsidRPr="0039665E">
        <w:rPr>
          <w:rFonts w:ascii="Bookman Old Style" w:hAnsi="Bookman Old Style"/>
          <w:i/>
          <w:iCs/>
          <w:sz w:val="22"/>
          <w:szCs w:val="22"/>
        </w:rPr>
        <w:t>Dopo l’art. 8 ter aggiungere il seguente art. 8 quater:</w:t>
      </w:r>
    </w:p>
    <w:p w14:paraId="5D4CCFC7" w14:textId="3F9FFD84" w:rsidR="00AD33C8" w:rsidRPr="008B59F4" w:rsidRDefault="008B59F4" w:rsidP="0039665E">
      <w:pPr>
        <w:spacing w:after="80"/>
        <w:jc w:val="both"/>
        <w:rPr>
          <w:rFonts w:ascii="Bookman Old Style" w:hAnsi="Bookman Old Style" w:cs="Arial"/>
        </w:rPr>
      </w:pPr>
      <w:r>
        <w:rPr>
          <w:rFonts w:ascii="Bookman Old Style" w:hAnsi="Bookman Old Style" w:cs="Arial"/>
        </w:rPr>
        <w:t xml:space="preserve">1. </w:t>
      </w:r>
      <w:r w:rsidR="00AD33C8" w:rsidRPr="008B59F4">
        <w:rPr>
          <w:rFonts w:ascii="Bookman Old Style" w:hAnsi="Bookman Old Style" w:cs="Arial"/>
        </w:rPr>
        <w:t>Ai fini di accelerare l’efficientamento energetico del patrimonio edilizio pubblico, il Decreto interministeriale 16 febbraio 2016 del Ministro dello sviluppo economico di concerto con il Ministro dell’ambiente e della tutela del territorio e del mare e con il Ministro delle politiche agricole alimentari e forestali, di aggiornamento del Conto Termico, è così modificato:</w:t>
      </w:r>
    </w:p>
    <w:p w14:paraId="6EC329FB" w14:textId="2D5C67A1" w:rsidR="00AD33C8" w:rsidRPr="0039665E" w:rsidRDefault="00BF6F7C" w:rsidP="0039665E">
      <w:pPr>
        <w:pStyle w:val="Paragrafoelenco"/>
        <w:numPr>
          <w:ilvl w:val="0"/>
          <w:numId w:val="41"/>
        </w:numPr>
        <w:spacing w:after="80"/>
        <w:contextualSpacing w:val="0"/>
        <w:jc w:val="both"/>
        <w:rPr>
          <w:rFonts w:ascii="Bookman Old Style" w:hAnsi="Bookman Old Style" w:cs="Arial"/>
        </w:rPr>
      </w:pPr>
      <w:r>
        <w:rPr>
          <w:rFonts w:ascii="Bookman Old Style" w:hAnsi="Bookman Old Style" w:cs="Arial"/>
        </w:rPr>
        <w:t>a</w:t>
      </w:r>
      <w:r w:rsidR="00AD33C8" w:rsidRPr="00894232">
        <w:rPr>
          <w:rFonts w:ascii="Bookman Old Style" w:hAnsi="Bookman Old Style" w:cs="Arial"/>
        </w:rPr>
        <w:t>ll’articolo 1, comma 3 alla prima riga le parole “200 milioni di euro” sono sostituite con le parole “500 milioni di euro”. Al comma 4, prima riga le parole “700 milioni di euro” sono sostituite con le parole “400 milioni di euro”</w:t>
      </w:r>
      <w:r w:rsidR="0039665E">
        <w:rPr>
          <w:rFonts w:ascii="Bookman Old Style" w:hAnsi="Bookman Old Style" w:cs="Arial"/>
        </w:rPr>
        <w:t>;</w:t>
      </w:r>
    </w:p>
    <w:p w14:paraId="502E69BC" w14:textId="38E3DFF9" w:rsidR="00AD33C8" w:rsidRPr="00BF6F7C" w:rsidRDefault="0039665E" w:rsidP="0039665E">
      <w:pPr>
        <w:pStyle w:val="Paragrafoelenco"/>
        <w:numPr>
          <w:ilvl w:val="0"/>
          <w:numId w:val="41"/>
        </w:numPr>
        <w:spacing w:after="80"/>
        <w:contextualSpacing w:val="0"/>
        <w:jc w:val="both"/>
        <w:rPr>
          <w:rFonts w:ascii="Bookman Old Style" w:hAnsi="Bookman Old Style" w:cs="Arial"/>
        </w:rPr>
      </w:pPr>
      <w:r>
        <w:rPr>
          <w:rFonts w:ascii="Bookman Old Style" w:hAnsi="Bookman Old Style" w:cs="Arial"/>
        </w:rPr>
        <w:t>a</w:t>
      </w:r>
      <w:r w:rsidR="00AD33C8" w:rsidRPr="00BF6F7C">
        <w:rPr>
          <w:rFonts w:ascii="Bookman Old Style" w:hAnsi="Bookman Old Style" w:cs="Arial"/>
        </w:rPr>
        <w:t>ll’articolo 4, comma 1, lettera c), dopo le parole “generatori di calore a condensazione” sono aggiunte le parole “e con pompe di calore”</w:t>
      </w:r>
      <w:r>
        <w:rPr>
          <w:rFonts w:ascii="Bookman Old Style" w:hAnsi="Bookman Old Style" w:cs="Arial"/>
        </w:rPr>
        <w:t>;</w:t>
      </w:r>
      <w:r w:rsidR="00AD33C8" w:rsidRPr="00BF6F7C">
        <w:rPr>
          <w:rFonts w:ascii="Bookman Old Style" w:hAnsi="Bookman Old Style" w:cs="Arial"/>
        </w:rPr>
        <w:t xml:space="preserve"> </w:t>
      </w:r>
    </w:p>
    <w:p w14:paraId="7805E09A" w14:textId="08301602" w:rsidR="00AD33C8" w:rsidRPr="0039665E" w:rsidRDefault="0039665E" w:rsidP="0039665E">
      <w:pPr>
        <w:pStyle w:val="Paragrafoelenco"/>
        <w:numPr>
          <w:ilvl w:val="0"/>
          <w:numId w:val="41"/>
        </w:numPr>
        <w:spacing w:after="80"/>
        <w:contextualSpacing w:val="0"/>
        <w:jc w:val="both"/>
        <w:rPr>
          <w:rFonts w:ascii="Bookman Old Style" w:hAnsi="Bookman Old Style" w:cs="Arial"/>
        </w:rPr>
      </w:pPr>
      <w:r>
        <w:rPr>
          <w:rFonts w:ascii="Bookman Old Style" w:hAnsi="Bookman Old Style" w:cs="Arial"/>
        </w:rPr>
        <w:t>a</w:t>
      </w:r>
      <w:r w:rsidR="00AD33C8" w:rsidRPr="00BF6F7C">
        <w:rPr>
          <w:rFonts w:ascii="Bookman Old Style" w:hAnsi="Bookman Old Style" w:cs="Arial"/>
        </w:rPr>
        <w:t>ll’articolo 7, comma 3, alla seconda riga eliminare le parole “in nessun caso”; dopo le parole “il 65% delle spese sostenute” aggiungere “, fatta eccezione per la trasformazione edifici a energia quasi zero dove può arrivare al 100%,”</w:t>
      </w:r>
      <w:r>
        <w:rPr>
          <w:rFonts w:ascii="Bookman Old Style" w:hAnsi="Bookman Old Style" w:cs="Arial"/>
        </w:rPr>
        <w:t>;</w:t>
      </w:r>
    </w:p>
    <w:p w14:paraId="14866E88" w14:textId="326B7DFB" w:rsidR="00AD33C8" w:rsidRPr="00BF6F7C" w:rsidRDefault="0039665E" w:rsidP="0039665E">
      <w:pPr>
        <w:pStyle w:val="Paragrafoelenco"/>
        <w:numPr>
          <w:ilvl w:val="0"/>
          <w:numId w:val="41"/>
        </w:numPr>
        <w:spacing w:after="80"/>
        <w:contextualSpacing w:val="0"/>
        <w:jc w:val="both"/>
        <w:rPr>
          <w:rFonts w:ascii="Bookman Old Style" w:hAnsi="Bookman Old Style" w:cs="Arial"/>
        </w:rPr>
      </w:pPr>
      <w:r>
        <w:rPr>
          <w:rFonts w:ascii="Bookman Old Style" w:hAnsi="Bookman Old Style" w:cs="Arial"/>
        </w:rPr>
        <w:t>a</w:t>
      </w:r>
      <w:r w:rsidR="00AD33C8" w:rsidRPr="00BF6F7C">
        <w:rPr>
          <w:rFonts w:ascii="Bookman Old Style" w:hAnsi="Bookman Old Style" w:cs="Arial"/>
        </w:rPr>
        <w:t>i fini di accelerare la decarbonizzazione dei sistemi di riscaldamento degli edifici privati, all’art. 1, comma 37 della Legge 234/2021, alla fine del periodo è aggiunto:</w:t>
      </w:r>
    </w:p>
    <w:p w14:paraId="044B112E" w14:textId="2516A259" w:rsidR="00AD33C8" w:rsidRPr="00894232" w:rsidRDefault="00AD33C8" w:rsidP="0039665E">
      <w:pPr>
        <w:spacing w:after="80"/>
        <w:ind w:left="360"/>
        <w:jc w:val="both"/>
        <w:rPr>
          <w:rFonts w:ascii="Bookman Old Style" w:hAnsi="Bookman Old Style" w:cs="Arial"/>
        </w:rPr>
      </w:pPr>
      <w:r w:rsidRPr="00894232">
        <w:rPr>
          <w:rFonts w:ascii="Bookman Old Style" w:hAnsi="Bookman Old Style" w:cs="Arial"/>
        </w:rPr>
        <w:t>“Le detrazioni fiscali per interventi di efficienza energetica relative alla sostituzione o acquisto di impianti di acqua calda e di climatizzazione invernale con impianti a pompe di calore sono pari all’80%.”</w:t>
      </w:r>
      <w:r w:rsidR="0039665E">
        <w:rPr>
          <w:rFonts w:ascii="Bookman Old Style" w:hAnsi="Bookman Old Style" w:cs="Arial"/>
        </w:rPr>
        <w:t>.</w:t>
      </w:r>
    </w:p>
    <w:p w14:paraId="5381B122" w14:textId="77777777" w:rsidR="00AD33C8" w:rsidRPr="004B276E" w:rsidRDefault="00AD33C8" w:rsidP="00BF6F7C">
      <w:pPr>
        <w:widowControl w:val="0"/>
        <w:suppressAutoHyphens/>
        <w:spacing w:after="80"/>
        <w:jc w:val="center"/>
        <w:rPr>
          <w:rFonts w:ascii="Bookman Old Style" w:eastAsia="SimSun" w:hAnsi="Bookman Old Style" w:cs="Lucida Sans"/>
          <w:b/>
          <w:bCs/>
          <w:kern w:val="1"/>
          <w:lang w:eastAsia="hi-IN" w:bidi="hi-IN"/>
        </w:rPr>
      </w:pPr>
      <w:r w:rsidRPr="004B276E">
        <w:rPr>
          <w:rFonts w:ascii="Bookman Old Style" w:eastAsia="SimSun" w:hAnsi="Bookman Old Style" w:cs="Lucida Sans"/>
          <w:b/>
          <w:bCs/>
          <w:kern w:val="1"/>
          <w:lang w:eastAsia="hi-IN" w:bidi="hi-IN"/>
        </w:rPr>
        <w:t>Motivazione</w:t>
      </w:r>
    </w:p>
    <w:p w14:paraId="3175530C" w14:textId="77777777" w:rsidR="00AD33C8" w:rsidRPr="00BF6F7C" w:rsidRDefault="00AD33C8" w:rsidP="00BF6F7C">
      <w:pPr>
        <w:spacing w:after="80"/>
        <w:jc w:val="both"/>
        <w:rPr>
          <w:rFonts w:ascii="Bookman Old Style" w:eastAsia="Times New Roman" w:hAnsi="Bookman Old Style" w:cs="Arial"/>
          <w:i/>
          <w:iCs/>
          <w:lang w:eastAsia="it-IT"/>
        </w:rPr>
      </w:pPr>
      <w:r w:rsidRPr="00BF6F7C">
        <w:rPr>
          <w:rFonts w:ascii="Bookman Old Style" w:eastAsia="Times New Roman" w:hAnsi="Bookman Old Style" w:cs="Arial"/>
          <w:i/>
          <w:iCs/>
          <w:lang w:eastAsia="it-IT"/>
        </w:rPr>
        <w:t>Il conto termico è lo strumento di incentivazione per gli interventi di efficienza energetica e la produzione di energia termica da fonti rinnovabili, introdotto con il DM 28/12/2012, che consente la realizzazione di progetti di riqualificazione energetica del patrimonio edilizio con il finanziamento fino al 65% delle spese. Le modifiche proposte consentono di accelerare nella direzione della decarbonizzazione del patrimonio edilizio pubblico. In particolare, le modifiche all’articolo consentono di aumentare la dotazione per interventi che avvengono sul patrimonio pubblico piuttosto che su quello privato, a parità di spesa per lo Stato. Le modifiche all’articolo 4 consentono l’accesso agli incentivi agli impianti a gas e a pompe di calore per i sistemi di riscaldamento invernali. Con l’intervento previsto all’articolo 7 si elevano i contributi per gli interventi che portano gli edifici a energia quasi zero, fino al 100% di rimborso, in modo da premiare interventi che consentono alle amministrazioni pubbliche di abbattere in modo rilevante e strutturale le spese energetiche.</w:t>
      </w:r>
    </w:p>
    <w:p w14:paraId="7CFFCA33" w14:textId="77777777" w:rsidR="00AD33C8" w:rsidRPr="00BF6F7C" w:rsidRDefault="00AD33C8" w:rsidP="00BF6F7C">
      <w:pPr>
        <w:spacing w:after="80"/>
        <w:jc w:val="both"/>
        <w:rPr>
          <w:rFonts w:ascii="Bookman Old Style" w:eastAsia="Times New Roman" w:hAnsi="Bookman Old Style" w:cs="Arial"/>
          <w:i/>
          <w:iCs/>
          <w:lang w:eastAsia="it-IT"/>
        </w:rPr>
      </w:pPr>
      <w:r w:rsidRPr="00BF6F7C">
        <w:rPr>
          <w:rFonts w:ascii="Bookman Old Style" w:hAnsi="Bookman Old Style" w:cs="Arial"/>
          <w:i/>
          <w:iCs/>
        </w:rPr>
        <w:t>Ai fini della riduzione strutturale dei consumi di gas e delle bollette delle famiglie occorre differenziare gli incentivi in vigore per la sostituzione e l’acquisto di impianti per il riscaldamento degli edifici in funzione della diversa efficienza e dell’utilizzo di fonti fossili. Con la modifica proposta si prevede di aumentare l’incentivo per la sostituzione o acquisto di impianti per la produzione di acqua calda sanitaria e di climatizzazione invernale con pompe di calore.</w:t>
      </w:r>
    </w:p>
    <w:p w14:paraId="7BFCF45E" w14:textId="77777777" w:rsidR="00AD33C8" w:rsidRPr="004B276E" w:rsidRDefault="00AD33C8" w:rsidP="00AD33C8">
      <w:pPr>
        <w:spacing w:after="0" w:line="240" w:lineRule="auto"/>
        <w:rPr>
          <w:rFonts w:ascii="Bookman Old Style" w:hAnsi="Bookman Old Style" w:cs="Arial"/>
        </w:rPr>
      </w:pPr>
    </w:p>
    <w:p w14:paraId="3237C571" w14:textId="77777777" w:rsidR="00AD33C8" w:rsidRPr="004B276E" w:rsidRDefault="00AD33C8" w:rsidP="00AD33C8">
      <w:pPr>
        <w:spacing w:after="0" w:line="240" w:lineRule="auto"/>
        <w:rPr>
          <w:rFonts w:ascii="Bookman Old Style" w:hAnsi="Bookman Old Style" w:cs="Arial"/>
        </w:rPr>
      </w:pPr>
    </w:p>
    <w:p w14:paraId="58D67CDB" w14:textId="77777777" w:rsidR="00A33E98" w:rsidRDefault="00A33E98">
      <w:pPr>
        <w:rPr>
          <w:rFonts w:ascii="Bookman Old Style" w:eastAsiaTheme="majorEastAsia" w:hAnsi="Bookman Old Style" w:cstheme="majorBidi"/>
          <w:b/>
          <w:bCs/>
          <w:color w:val="2F5496" w:themeColor="accent1" w:themeShade="BF"/>
        </w:rPr>
      </w:pPr>
      <w:bookmarkStart w:id="80" w:name="_Toc120881123"/>
      <w:r>
        <w:rPr>
          <w:rFonts w:ascii="Bookman Old Style" w:hAnsi="Bookman Old Style"/>
          <w:b/>
          <w:bCs/>
          <w:color w:val="2F5496" w:themeColor="accent1" w:themeShade="BF"/>
        </w:rPr>
        <w:br w:type="page"/>
      </w:r>
    </w:p>
    <w:p w14:paraId="209E4D4E" w14:textId="18CC3C30" w:rsidR="00AD33C8" w:rsidRPr="004B276E" w:rsidRDefault="00AD33C8"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81" w:name="_Toc121214306"/>
      <w:r w:rsidRPr="004B276E">
        <w:rPr>
          <w:rFonts w:ascii="Bookman Old Style" w:hAnsi="Bookman Old Style"/>
          <w:b/>
          <w:bCs/>
          <w:color w:val="2F5496" w:themeColor="accent1" w:themeShade="BF"/>
          <w:sz w:val="22"/>
          <w:szCs w:val="22"/>
        </w:rPr>
        <w:t>Decarbonizzazione dei sistemi di riscaldamento degli edifici pubblici nelle gare di affidamento</w:t>
      </w:r>
      <w:bookmarkEnd w:id="80"/>
      <w:bookmarkEnd w:id="81"/>
    </w:p>
    <w:p w14:paraId="74086739" w14:textId="77777777" w:rsidR="00AD33C8" w:rsidRPr="004B276E" w:rsidRDefault="00AD33C8" w:rsidP="008439ED">
      <w:pPr>
        <w:spacing w:after="80"/>
        <w:jc w:val="both"/>
        <w:rPr>
          <w:rFonts w:ascii="Bookman Old Style" w:hAnsi="Bookman Old Style" w:cs="Arial"/>
        </w:rPr>
      </w:pPr>
      <w:r w:rsidRPr="004B276E">
        <w:rPr>
          <w:rFonts w:ascii="Bookman Old Style" w:hAnsi="Bookman Old Style" w:cs="Arial"/>
        </w:rPr>
        <w:t>Ai fini di accelerare la decarbonizzazione dei sistemi di riscaldamento negli edifici pubblici nelle procedure di affidamento tramite convenzione con Consip sono apportate le seguenti modifiche all’articolo 26 della Legge 448/1999 e successive modifiche:</w:t>
      </w:r>
    </w:p>
    <w:p w14:paraId="016CF743" w14:textId="40FF066F" w:rsidR="00AD33C8" w:rsidRPr="005D20A8" w:rsidRDefault="005D20A8" w:rsidP="005D20A8">
      <w:pPr>
        <w:pStyle w:val="Paragrafoelenco"/>
        <w:numPr>
          <w:ilvl w:val="0"/>
          <w:numId w:val="43"/>
        </w:numPr>
        <w:spacing w:after="80"/>
        <w:jc w:val="both"/>
        <w:rPr>
          <w:rFonts w:ascii="Bookman Old Style" w:hAnsi="Bookman Old Style" w:cs="Arial"/>
        </w:rPr>
      </w:pPr>
      <w:r>
        <w:rPr>
          <w:rFonts w:ascii="Bookman Old Style" w:hAnsi="Bookman Old Style" w:cs="Arial"/>
        </w:rPr>
        <w:t>a</w:t>
      </w:r>
      <w:r w:rsidR="00AD33C8" w:rsidRPr="005D20A8">
        <w:rPr>
          <w:rFonts w:ascii="Bookman Old Style" w:hAnsi="Bookman Old Style" w:cs="Arial"/>
        </w:rPr>
        <w:t xml:space="preserve">l comma 1 è aggiunto in </w:t>
      </w:r>
      <w:r>
        <w:rPr>
          <w:rFonts w:ascii="Bookman Old Style" w:hAnsi="Bookman Old Style" w:cs="Arial"/>
        </w:rPr>
        <w:t>fine il seguente periodo</w:t>
      </w:r>
      <w:r w:rsidR="00AD33C8" w:rsidRPr="005D20A8">
        <w:rPr>
          <w:rFonts w:ascii="Bookman Old Style" w:hAnsi="Bookman Old Style" w:cs="Arial"/>
        </w:rPr>
        <w:t>:</w:t>
      </w:r>
    </w:p>
    <w:p w14:paraId="4C567B10" w14:textId="77777777" w:rsidR="00AD33C8" w:rsidRPr="004B276E" w:rsidRDefault="00AD33C8" w:rsidP="008439ED">
      <w:pPr>
        <w:spacing w:after="80"/>
        <w:jc w:val="both"/>
        <w:rPr>
          <w:rFonts w:ascii="Bookman Old Style" w:hAnsi="Bookman Old Style" w:cs="Arial"/>
        </w:rPr>
      </w:pPr>
      <w:r w:rsidRPr="004B276E">
        <w:rPr>
          <w:rFonts w:ascii="Bookman Old Style" w:hAnsi="Bookman Old Style" w:cs="Arial"/>
        </w:rPr>
        <w:t>“I capitolati tecnici delle convenzioni per le gare del servizio energia devono prevedere criteri premianti per offerte e tecnologie a emissioni zero nella direzione della decarbonizzazione dei sistemi di riscaldamento degli edifici.”</w:t>
      </w:r>
    </w:p>
    <w:p w14:paraId="421B2A28" w14:textId="77777777" w:rsidR="00AD33C8" w:rsidRPr="004B276E" w:rsidRDefault="00AD33C8" w:rsidP="0039665E">
      <w:pPr>
        <w:spacing w:after="80"/>
        <w:jc w:val="center"/>
        <w:rPr>
          <w:rFonts w:ascii="Bookman Old Style" w:hAnsi="Bookman Old Style" w:cs="Arial"/>
          <w:u w:val="single"/>
        </w:rPr>
      </w:pPr>
      <w:r w:rsidRPr="004B276E">
        <w:rPr>
          <w:rFonts w:ascii="Bookman Old Style" w:eastAsia="SimSun" w:hAnsi="Bookman Old Style" w:cs="Lucida Sans"/>
          <w:b/>
          <w:bCs/>
          <w:kern w:val="1"/>
          <w:lang w:eastAsia="hi-IN" w:bidi="hi-IN"/>
        </w:rPr>
        <w:t>Motivazione</w:t>
      </w:r>
    </w:p>
    <w:p w14:paraId="272D11FB" w14:textId="77777777" w:rsidR="00AD33C8" w:rsidRPr="00EB0D2E" w:rsidRDefault="00AD33C8" w:rsidP="0039665E">
      <w:pPr>
        <w:spacing w:after="80"/>
        <w:jc w:val="both"/>
        <w:rPr>
          <w:rFonts w:ascii="Bookman Old Style" w:hAnsi="Bookman Old Style" w:cs="Arial"/>
          <w:i/>
          <w:iCs/>
        </w:rPr>
      </w:pPr>
      <w:r w:rsidRPr="00EB0D2E">
        <w:rPr>
          <w:rFonts w:ascii="Bookman Old Style" w:hAnsi="Bookman Old Style" w:cs="Arial"/>
          <w:i/>
          <w:iCs/>
        </w:rPr>
        <w:t>La convenzione per l’affidamento dei servizi in materia di riscaldamento degli edifici attraverso Consip è regolata dall’articolo 26 della legge 488/1999 ed è stata nel tempo aggiornata da modifiche normative. I Comuni hanno la possibilità di contratti per l’acquisto di beni e servizi con le imprese che hanno risposto alla centrale di committenza Consip. Il capitolato tecnico delle gare Servizio Energia (SIE4) prevede come obiettivi di “ridurre i consumi energetici attraverso la razionalizzazione dei processi e la riqualificazione tecnologica del sistema edificio-impianto” e di “diminuire le emissioni inquinanti e di conseguenza ridurre l’impatto ambientale”. Il problema è che questo tipo di criterio porta a migliorare gli impianti esistenti e non a proporre, prioritariamente, sistemi a emissioni zero come oggi è possibile con le pompe di calore. La conseguenza è che la decarbonizzazione del settore edilizio è rallentata e alle amministrazioni comunali non vengono offerti strumenti adeguati a selezionare le offerte più competitive da un punto di vista del costo nella vita utile dell’impianto e ambientale.</w:t>
      </w:r>
    </w:p>
    <w:p w14:paraId="07178EAC" w14:textId="77777777" w:rsidR="00AD33C8" w:rsidRDefault="00AD33C8" w:rsidP="00AD33C8">
      <w:pPr>
        <w:spacing w:after="0" w:line="240" w:lineRule="auto"/>
        <w:jc w:val="both"/>
        <w:rPr>
          <w:rFonts w:ascii="Bookman Old Style" w:hAnsi="Bookman Old Style" w:cs="Arial"/>
        </w:rPr>
      </w:pPr>
    </w:p>
    <w:p w14:paraId="2DC910B6" w14:textId="6CC8D96C" w:rsidR="00AD33C8" w:rsidRPr="0033376B" w:rsidRDefault="00AD33C8"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82" w:name="_Toc121214307"/>
      <w:r w:rsidRPr="0033376B">
        <w:rPr>
          <w:rFonts w:ascii="Bookman Old Style" w:hAnsi="Bookman Old Style"/>
          <w:b/>
          <w:bCs/>
          <w:color w:val="2F5496" w:themeColor="accent1" w:themeShade="BF"/>
          <w:sz w:val="22"/>
          <w:szCs w:val="22"/>
        </w:rPr>
        <w:t>Integrazione al Fondo per la strategia di mobilità sostenibile per la lotta al cambiamento climatico e la riduzione delle emissioni</w:t>
      </w:r>
      <w:bookmarkEnd w:id="82"/>
    </w:p>
    <w:p w14:paraId="3EC4D5EE" w14:textId="48098EAC" w:rsidR="00AD33C8" w:rsidRPr="0039665E" w:rsidRDefault="00AD33C8" w:rsidP="00620243">
      <w:pPr>
        <w:spacing w:after="80"/>
        <w:jc w:val="both"/>
        <w:rPr>
          <w:rFonts w:ascii="Bookman Old Style" w:hAnsi="Bookman Old Style"/>
          <w:i/>
          <w:iCs/>
        </w:rPr>
      </w:pPr>
      <w:r w:rsidRPr="0039665E">
        <w:rPr>
          <w:rFonts w:ascii="Bookman Old Style" w:hAnsi="Bookman Old Style"/>
          <w:i/>
          <w:iCs/>
        </w:rPr>
        <w:t>Aggiungere il seguente articolo 81</w:t>
      </w:r>
      <w:r w:rsidR="006C17B3">
        <w:rPr>
          <w:rFonts w:ascii="Bookman Old Style" w:hAnsi="Bookman Old Style"/>
          <w:i/>
          <w:iCs/>
        </w:rPr>
        <w:t>-</w:t>
      </w:r>
      <w:r w:rsidRPr="0039665E">
        <w:rPr>
          <w:rFonts w:ascii="Bookman Old Style" w:hAnsi="Bookman Old Style"/>
          <w:i/>
          <w:iCs/>
        </w:rPr>
        <w:t>bis</w:t>
      </w:r>
      <w:r w:rsidR="0039665E">
        <w:rPr>
          <w:rFonts w:ascii="Bookman Old Style" w:hAnsi="Bookman Old Style"/>
          <w:i/>
          <w:iCs/>
        </w:rPr>
        <w:t>:</w:t>
      </w:r>
    </w:p>
    <w:p w14:paraId="204FDD6F" w14:textId="41BDA01F" w:rsidR="00AD33C8" w:rsidRPr="0039665E" w:rsidRDefault="0039665E" w:rsidP="00620243">
      <w:pPr>
        <w:spacing w:after="80"/>
        <w:jc w:val="both"/>
        <w:rPr>
          <w:rFonts w:ascii="Bookman Old Style" w:hAnsi="Bookman Old Style"/>
        </w:rPr>
      </w:pPr>
      <w:r>
        <w:rPr>
          <w:rFonts w:ascii="Bookman Old Style" w:hAnsi="Bookman Old Style"/>
        </w:rPr>
        <w:t xml:space="preserve">1. </w:t>
      </w:r>
      <w:r w:rsidR="00AD33C8" w:rsidRPr="0039665E">
        <w:rPr>
          <w:rFonts w:ascii="Bookman Old Style" w:hAnsi="Bookman Old Style"/>
        </w:rPr>
        <w:t>Il Fondo di cui all’articolo 1, comma 392, secondo periodo, della legge 30 dicembre 2021, n. 234, è destinato altresì a supportare i Comuni nelle attività di incentivazione alla mobilità attiva, di innovazione e management della mobilità urbana, in particolare a rafforzare e formare il Mobility manager d’area, a consolidare l’attività di raccolta dati per la redazione e l’aggiornamento dei PUMS e a finanziare le azioni ritenute dai Comuni meritevoli contenute nei Piani di spostamento casa-lavoro di cui al Decreto interministeriale n. 179 del 12 maggio 2021, tra cui la messa in sicurezza e il rafforzamento di servizi per la ciclopedonalità, ivi compresa l’attività di redazione dei Biciplan.</w:t>
      </w:r>
    </w:p>
    <w:p w14:paraId="32EEBA3A" w14:textId="6C2285F9" w:rsidR="00AD33C8" w:rsidRPr="0039665E" w:rsidRDefault="0039665E" w:rsidP="00620243">
      <w:pPr>
        <w:spacing w:after="80"/>
        <w:jc w:val="both"/>
        <w:rPr>
          <w:rFonts w:ascii="Bookman Old Style" w:hAnsi="Bookman Old Style"/>
        </w:rPr>
      </w:pPr>
      <w:r>
        <w:rPr>
          <w:rFonts w:ascii="Bookman Old Style" w:hAnsi="Bookman Old Style"/>
        </w:rPr>
        <w:t xml:space="preserve">2. </w:t>
      </w:r>
      <w:r w:rsidR="00AD33C8" w:rsidRPr="0039665E">
        <w:rPr>
          <w:rFonts w:ascii="Bookman Old Style" w:hAnsi="Bookman Old Style"/>
        </w:rPr>
        <w:t xml:space="preserve">Nel fondo confluiscono le risorse residue e non utilizzate di cui all’art. 51 comma 9 della legge 23 luglio 2021, n. 106 e le risorse residue di cui all’art. 1, comma 48, della legge 27 dicembre 2019, n. 160. </w:t>
      </w:r>
    </w:p>
    <w:p w14:paraId="0B6B00D1" w14:textId="77777777" w:rsidR="00AD33C8" w:rsidRPr="00DE7D88" w:rsidRDefault="00AD33C8" w:rsidP="00620243">
      <w:pPr>
        <w:shd w:val="clear" w:color="auto" w:fill="FFFFFF"/>
        <w:spacing w:after="80"/>
        <w:jc w:val="center"/>
        <w:rPr>
          <w:rFonts w:ascii="Bookman Old Style" w:hAnsi="Bookman Old Style" w:cs="Times New Roman"/>
          <w:color w:val="000000"/>
        </w:rPr>
      </w:pPr>
      <w:r w:rsidRPr="00DE7D88">
        <w:rPr>
          <w:rFonts w:ascii="Bookman Old Style" w:eastAsia="Times New Roman" w:hAnsi="Bookman Old Style"/>
          <w:b/>
          <w:bCs/>
          <w:color w:val="212121"/>
        </w:rPr>
        <w:t>Motivazione</w:t>
      </w:r>
    </w:p>
    <w:p w14:paraId="230AF8D1" w14:textId="77777777" w:rsidR="00AD33C8" w:rsidRPr="00EB0D2E" w:rsidRDefault="00AD33C8" w:rsidP="00620243">
      <w:pPr>
        <w:spacing w:after="80"/>
        <w:jc w:val="both"/>
        <w:rPr>
          <w:rFonts w:ascii="Bookman Old Style" w:eastAsia="Times New Roman" w:hAnsi="Bookman Old Style"/>
          <w:i/>
          <w:iCs/>
          <w:color w:val="212121"/>
        </w:rPr>
      </w:pPr>
      <w:r w:rsidRPr="00EB0D2E">
        <w:rPr>
          <w:rFonts w:ascii="Bookman Old Style" w:eastAsia="Times New Roman" w:hAnsi="Bookman Old Style"/>
          <w:i/>
          <w:iCs/>
          <w:color w:val="212121"/>
        </w:rPr>
        <w:t xml:space="preserve">Il Fondo istituito nella Legge di Bilancio 2022 sulla mobilità sostenibile è strategico per i Comuni e deve avere una destinazione più ampia della realizzazione di infrastrutture di trasporto. È inoltre necessario prevedere che non si perdano o si distraggano risorse su azioni importanti per l’innovazione e la decarbonizzazione della mobilità urbana, come le risorse dedicate al mobility management e quelle dedicate alla ciclabilità, potenziando maggiormente il fronte della pianificazione, gestione e dei servizi. </w:t>
      </w:r>
    </w:p>
    <w:p w14:paraId="76F827D0" w14:textId="77777777" w:rsidR="00AD33C8" w:rsidRPr="004B276E" w:rsidRDefault="00AD33C8" w:rsidP="00AD33C8">
      <w:pPr>
        <w:spacing w:after="0" w:line="240" w:lineRule="auto"/>
        <w:jc w:val="both"/>
        <w:rPr>
          <w:rFonts w:ascii="Bookman Old Style" w:hAnsi="Bookman Old Style" w:cs="Arial"/>
        </w:rPr>
      </w:pPr>
    </w:p>
    <w:p w14:paraId="291C581E" w14:textId="77777777" w:rsidR="00AD33C8" w:rsidRPr="004B276E" w:rsidRDefault="00AD33C8" w:rsidP="00AD33C8">
      <w:pPr>
        <w:spacing w:after="0" w:line="240" w:lineRule="auto"/>
        <w:jc w:val="both"/>
        <w:rPr>
          <w:rFonts w:ascii="Bookman Old Style" w:hAnsi="Bookman Old Style" w:cs="Arial"/>
        </w:rPr>
      </w:pPr>
    </w:p>
    <w:p w14:paraId="3F6D2C9F" w14:textId="187CA331" w:rsidR="00AD33C8" w:rsidRPr="00A7555E" w:rsidRDefault="00AD33C8"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83" w:name="_Toc118387482"/>
      <w:bookmarkStart w:id="84" w:name="_Toc120881118"/>
      <w:bookmarkStart w:id="85" w:name="_Toc121214308"/>
      <w:r w:rsidRPr="00A20489">
        <w:rPr>
          <w:rFonts w:ascii="Bookman Old Style" w:hAnsi="Bookman Old Style"/>
          <w:b/>
          <w:bCs/>
          <w:color w:val="2F5496" w:themeColor="accent1" w:themeShade="BF"/>
          <w:sz w:val="22"/>
          <w:szCs w:val="22"/>
        </w:rPr>
        <w:t>Regolamentazione tariffe ZTL</w:t>
      </w:r>
      <w:bookmarkEnd w:id="83"/>
      <w:bookmarkEnd w:id="84"/>
      <w:bookmarkEnd w:id="85"/>
    </w:p>
    <w:p w14:paraId="5A55B2AA" w14:textId="29ADAC1C" w:rsidR="00AD33C8" w:rsidRPr="00A20489" w:rsidRDefault="00AD33C8" w:rsidP="00620243">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 xml:space="preserve">Dopo l’art. </w:t>
      </w:r>
      <w:r w:rsidR="003C0A43">
        <w:rPr>
          <w:rFonts w:ascii="Bookman Old Style" w:hAnsi="Bookman Old Style"/>
          <w:i/>
          <w:iCs/>
          <w:sz w:val="22"/>
          <w:szCs w:val="22"/>
        </w:rPr>
        <w:t>11</w:t>
      </w:r>
      <w:r w:rsidRPr="00A20489">
        <w:rPr>
          <w:rFonts w:ascii="Bookman Old Style" w:hAnsi="Bookman Old Style"/>
          <w:i/>
          <w:iCs/>
          <w:sz w:val="22"/>
          <w:szCs w:val="22"/>
        </w:rPr>
        <w:t xml:space="preserve"> aggiungere il seguente art. </w:t>
      </w:r>
      <w:r w:rsidR="003C0A43">
        <w:rPr>
          <w:rFonts w:ascii="Bookman Old Style" w:hAnsi="Bookman Old Style"/>
          <w:i/>
          <w:iCs/>
          <w:sz w:val="22"/>
          <w:szCs w:val="22"/>
        </w:rPr>
        <w:t>11</w:t>
      </w:r>
      <w:r w:rsidR="00B85872">
        <w:rPr>
          <w:rFonts w:ascii="Bookman Old Style" w:hAnsi="Bookman Old Style"/>
          <w:i/>
          <w:iCs/>
          <w:sz w:val="22"/>
          <w:szCs w:val="22"/>
        </w:rPr>
        <w:t>-</w:t>
      </w:r>
      <w:r w:rsidRPr="00A20489">
        <w:rPr>
          <w:rFonts w:ascii="Bookman Old Style" w:hAnsi="Bookman Old Style"/>
          <w:i/>
          <w:iCs/>
          <w:sz w:val="22"/>
          <w:szCs w:val="22"/>
        </w:rPr>
        <w:t>bis</w:t>
      </w:r>
      <w:r w:rsidR="00B85872">
        <w:rPr>
          <w:rFonts w:ascii="Bookman Old Style" w:hAnsi="Bookman Old Style"/>
          <w:i/>
          <w:iCs/>
          <w:sz w:val="22"/>
          <w:szCs w:val="22"/>
        </w:rPr>
        <w:t>:</w:t>
      </w:r>
    </w:p>
    <w:p w14:paraId="2C7B758F" w14:textId="77777777" w:rsidR="00AD33C8" w:rsidRPr="00A20489" w:rsidRDefault="00AD33C8" w:rsidP="00620243">
      <w:pPr>
        <w:shd w:val="clear" w:color="auto" w:fill="FFFFFF"/>
        <w:spacing w:after="80"/>
        <w:jc w:val="both"/>
        <w:rPr>
          <w:rFonts w:ascii="Bookman Old Style" w:hAnsi="Bookman Old Style" w:cs="Calibri"/>
          <w:color w:val="000000"/>
          <w:lang w:eastAsia="it-IT"/>
        </w:rPr>
      </w:pPr>
      <w:r w:rsidRPr="00A20489">
        <w:rPr>
          <w:rFonts w:ascii="Bookman Old Style" w:hAnsi="Bookman Old Style" w:cs="Calibri"/>
          <w:color w:val="000000"/>
          <w:lang w:eastAsia="it-IT"/>
        </w:rPr>
        <w:t>All’art. 7 comma 9 del D.Lgs. n. 285/1992 l’ultimo periodo è così riformulato “</w:t>
      </w:r>
      <w:r w:rsidRPr="00A20489">
        <w:rPr>
          <w:rFonts w:ascii="Bookman Old Style" w:hAnsi="Bookman Old Style" w:cs="Calibri"/>
          <w:i/>
          <w:iCs/>
          <w:color w:val="000000"/>
          <w:lang w:eastAsia="it-IT"/>
        </w:rPr>
        <w:t>Con il Regolamento di cui all’art. 201 comma 1-bis let. g sono individuate le modalità attuative, e nelle more dell’approvazione del Regolamento rimane in vigore la circolare n. 3816 del 21/7/1997</w:t>
      </w:r>
      <w:r w:rsidRPr="00A20489">
        <w:rPr>
          <w:rFonts w:ascii="Bookman Old Style" w:hAnsi="Bookman Old Style" w:cs="Calibri"/>
          <w:color w:val="000000"/>
          <w:lang w:eastAsia="it-IT"/>
        </w:rPr>
        <w:t>.”</w:t>
      </w:r>
    </w:p>
    <w:p w14:paraId="1759C425" w14:textId="77777777" w:rsidR="00AD33C8" w:rsidRPr="00A20489" w:rsidRDefault="00AD33C8" w:rsidP="00620243">
      <w:pPr>
        <w:shd w:val="clear" w:color="auto" w:fill="FFFFFF"/>
        <w:spacing w:after="80"/>
        <w:jc w:val="center"/>
        <w:rPr>
          <w:rFonts w:ascii="Bookman Old Style" w:hAnsi="Bookman Old Style" w:cs="Calibri"/>
          <w:b/>
          <w:bCs/>
          <w:color w:val="000000"/>
          <w:lang w:eastAsia="it-IT"/>
        </w:rPr>
      </w:pPr>
      <w:r w:rsidRPr="00A20489">
        <w:rPr>
          <w:rFonts w:ascii="Bookman Old Style" w:hAnsi="Bookman Old Style" w:cs="Calibri"/>
          <w:b/>
          <w:bCs/>
          <w:color w:val="000000"/>
          <w:lang w:eastAsia="it-IT"/>
        </w:rPr>
        <w:t>Motivazione</w:t>
      </w:r>
    </w:p>
    <w:p w14:paraId="69C68712" w14:textId="34023660" w:rsidR="00AD33C8" w:rsidRPr="006972F4" w:rsidRDefault="00AD33C8" w:rsidP="00620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Bookman Old Style" w:hAnsi="Bookman Old Style" w:cs="Courier New"/>
          <w:color w:val="000000" w:themeColor="text1"/>
          <w:lang w:eastAsia="it-IT"/>
        </w:rPr>
      </w:pPr>
      <w:r w:rsidRPr="006972F4">
        <w:rPr>
          <w:rFonts w:ascii="Bookman Old Style" w:hAnsi="Bookman Old Style" w:cs="Calibri"/>
          <w:color w:val="000000"/>
          <w:lang w:eastAsia="it-IT"/>
        </w:rPr>
        <w:t>Il nuovo testo del comma 9 art. 7 del Codice della Strada che norma le aree pedonali e ZTL come modificato dalla Legge 108 del 5 agosto 22, di conversione in legge, con modificazioni, del decreto-legge 16 giugno 2022, n. 68, prevede l’emanazione di un Decreto del MIMS al fine di</w:t>
      </w:r>
      <w:r w:rsidR="00901A9A">
        <w:rPr>
          <w:rFonts w:ascii="Bookman Old Style" w:hAnsi="Bookman Old Style" w:cs="Calibri"/>
          <w:color w:val="000000"/>
          <w:lang w:eastAsia="it-IT"/>
        </w:rPr>
        <w:t xml:space="preserve"> </w:t>
      </w:r>
      <w:r w:rsidRPr="006972F4">
        <w:rPr>
          <w:rFonts w:ascii="Bookman Old Style" w:hAnsi="Bookman Old Style" w:cs="Calibri"/>
          <w:color w:val="000000"/>
          <w:lang w:eastAsia="it-IT"/>
        </w:rPr>
        <w:t>individuate le tipologie dei comuni che possono</w:t>
      </w:r>
      <w:r w:rsidRPr="006972F4">
        <w:rPr>
          <w:rFonts w:ascii="Bookman Old Style" w:hAnsi="Bookman Old Style" w:cs="Calibri"/>
          <w:b/>
          <w:bCs/>
          <w:color w:val="000000"/>
          <w:lang w:eastAsia="it-IT"/>
        </w:rPr>
        <w:t> </w:t>
      </w:r>
      <w:r w:rsidRPr="006972F4">
        <w:rPr>
          <w:rFonts w:ascii="Bookman Old Style" w:hAnsi="Bookman Old Style" w:cs="Calibri"/>
          <w:color w:val="000000"/>
          <w:lang w:eastAsia="it-IT"/>
        </w:rPr>
        <w:t xml:space="preserve">avvalersi di tale facoltà, le modalità di riscossione del pagamento, le categorie dei </w:t>
      </w:r>
      <w:r w:rsidRPr="006972F4">
        <w:rPr>
          <w:rFonts w:ascii="Bookman Old Style" w:hAnsi="Bookman Old Style" w:cs="Calibri"/>
          <w:color w:val="000000" w:themeColor="text1"/>
          <w:lang w:eastAsia="it-IT"/>
        </w:rPr>
        <w:t>veicoli esentati, nonché, previa intesa in sede di Conferenza unificata di cui all'</w:t>
      </w:r>
      <w:hyperlink r:id="rId13" w:tgtFrame="_blank" w:tooltip="URL originale: https://urlsand.esvalabs.com/?u=https%3A%2F%2Fwww.normattiva.it%2Furi-res%2FN2Ls%3Furn%3Anir%3Astato%3Adecreto.legislativo%3A1997-08-28%3B281~art8&amp;e=dcce0189&amp;h=a470144d&amp;f=y&amp;p=n. Fare clic o toccare se si considera attendibile questo collega" w:history="1">
        <w:r w:rsidRPr="006972F4">
          <w:rPr>
            <w:rFonts w:ascii="Bookman Old Style" w:hAnsi="Bookman Old Style" w:cs="Calibri"/>
            <w:color w:val="000000" w:themeColor="text1"/>
            <w:lang w:eastAsia="it-IT"/>
          </w:rPr>
          <w:t>articolo 8 del decreto</w:t>
        </w:r>
      </w:hyperlink>
      <w:r w:rsidRPr="006972F4">
        <w:rPr>
          <w:rFonts w:ascii="Bookman Old Style" w:hAnsi="Bookman Old Style" w:cs="Calibri"/>
          <w:color w:val="000000" w:themeColor="text1"/>
          <w:lang w:eastAsia="it-IT"/>
        </w:rPr>
        <w:t> </w:t>
      </w:r>
      <w:hyperlink r:id="rId14" w:tgtFrame="_blank" w:tooltip="URL originale: https://urlsand.esvalabs.com/?u=https%3A%2F%2Fwww.normattiva.it%2Furi-res%2FN2Ls%3Furn%3Anir%3Astato%3Adecreto.legislativo%3A1997-08-28%3B281~art8&amp;e=dcce0189&amp;h=a470144d&amp;f=y&amp;p=n. Fare clic o toccare se si considera attendibile questo collega" w:history="1">
        <w:r w:rsidRPr="006972F4">
          <w:rPr>
            <w:rFonts w:ascii="Bookman Old Style" w:hAnsi="Bookman Old Style" w:cs="Calibri"/>
            <w:color w:val="000000" w:themeColor="text1"/>
            <w:lang w:eastAsia="it-IT"/>
          </w:rPr>
          <w:t>legislativo 28 agosto 1997, n. 281</w:t>
        </w:r>
      </w:hyperlink>
      <w:r w:rsidRPr="006972F4">
        <w:rPr>
          <w:rFonts w:ascii="Bookman Old Style" w:hAnsi="Bookman Old Style" w:cs="Calibri"/>
          <w:color w:val="000000" w:themeColor="text1"/>
          <w:lang w:eastAsia="it-IT"/>
        </w:rPr>
        <w:t>, i massimali delle tariffe, da definire tenendo conto delle emissioni inquinanti dei veicoli e delle tipologie dei permessi. </w:t>
      </w:r>
    </w:p>
    <w:p w14:paraId="0038B042" w14:textId="77777777" w:rsidR="00AD33C8" w:rsidRPr="006972F4" w:rsidRDefault="00AD33C8" w:rsidP="00620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Bookman Old Style" w:hAnsi="Bookman Old Style" w:cs="Calibri"/>
          <w:color w:val="000000"/>
          <w:lang w:eastAsia="it-IT"/>
        </w:rPr>
      </w:pPr>
      <w:r w:rsidRPr="006972F4">
        <w:rPr>
          <w:rFonts w:ascii="Bookman Old Style" w:hAnsi="Bookman Old Style" w:cs="Calibri"/>
          <w:color w:val="000000" w:themeColor="text1"/>
          <w:lang w:eastAsia="it-IT"/>
        </w:rPr>
        <w:t xml:space="preserve">In precedenza, fino all’agosto 2022, l’articolo del codice prevedeva che “Con direttiva emanata dall'Ispettorato generale per la circolazione e la sicurezza stradale </w:t>
      </w:r>
      <w:r w:rsidRPr="006972F4">
        <w:rPr>
          <w:rFonts w:ascii="Bookman Old Style" w:hAnsi="Bookman Old Style" w:cs="Calibri"/>
          <w:color w:val="000000"/>
          <w:lang w:eastAsia="it-IT"/>
        </w:rPr>
        <w:t>entro un anno dall'entrata in vigore del presente codice, sono individuate le tipologie dei comuni che possono avvalersi di tale facoltà, nonché le modalità di riscossione del pagamento e le categorie dei veicoli esentati.” Di fatto si faceva riferimento alla circolare 21.7.1997 n. 3816.</w:t>
      </w:r>
    </w:p>
    <w:p w14:paraId="19CE8AFA" w14:textId="77777777" w:rsidR="00AD33C8" w:rsidRPr="00A20489" w:rsidRDefault="00AD33C8" w:rsidP="00AD3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Bookman Old Style" w:hAnsi="Bookman Old Style" w:cs="Calibri"/>
          <w:color w:val="000000"/>
          <w:lang w:eastAsia="it-IT"/>
        </w:rPr>
      </w:pPr>
      <w:r w:rsidRPr="006972F4">
        <w:rPr>
          <w:rFonts w:ascii="Bookman Old Style" w:hAnsi="Bookman Old Style" w:cs="Calibri"/>
          <w:b/>
          <w:bCs/>
          <w:color w:val="000000"/>
          <w:lang w:eastAsia="it-IT"/>
        </w:rPr>
        <w:t>Al fine di evitare confusione difformità e stalli nell’applicazione degli strumenti regolatori a livello locale, la norma proposta tende a mantenere una coerenza con la direzione tracciata fino ad oggi dal MIMS, e rimanda la questione al Regolamento previsto dall’art. 201 comma 1bis lett. g) del codice della strada, dove sono previste le condizioni per i dispositivi di controllo delle ZTL e aree pedonali.</w:t>
      </w:r>
      <w:r w:rsidRPr="00A20489">
        <w:rPr>
          <w:rFonts w:ascii="Bookman Old Style" w:hAnsi="Bookman Old Style" w:cs="Calibri"/>
          <w:color w:val="000000"/>
          <w:lang w:eastAsia="it-IT"/>
        </w:rPr>
        <w:t> </w:t>
      </w:r>
    </w:p>
    <w:p w14:paraId="23B658BD" w14:textId="77777777" w:rsidR="00AD33C8" w:rsidRPr="00A20489" w:rsidRDefault="00AD33C8" w:rsidP="00AD3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Bookman Old Style" w:hAnsi="Bookman Old Style" w:cs="Calibri"/>
          <w:color w:val="000000"/>
          <w:lang w:eastAsia="it-IT"/>
        </w:rPr>
      </w:pPr>
      <w:r w:rsidRPr="00A20489">
        <w:rPr>
          <w:rFonts w:ascii="Bookman Old Style" w:hAnsi="Bookman Old Style" w:cs="Calibri"/>
          <w:color w:val="000000"/>
          <w:u w:val="single"/>
          <w:lang w:eastAsia="it-IT"/>
        </w:rPr>
        <w:t>In subordine</w:t>
      </w:r>
    </w:p>
    <w:p w14:paraId="25770A2F" w14:textId="77777777" w:rsidR="00AD33C8" w:rsidRPr="00A20489" w:rsidRDefault="00AD33C8" w:rsidP="00AD3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Bookman Old Style" w:hAnsi="Bookman Old Style" w:cs="Calibri"/>
          <w:color w:val="000000"/>
          <w:lang w:eastAsia="it-IT"/>
        </w:rPr>
      </w:pPr>
      <w:r w:rsidRPr="00A20489">
        <w:rPr>
          <w:rFonts w:ascii="Bookman Old Style" w:hAnsi="Bookman Old Style" w:cs="Calibri"/>
          <w:color w:val="000000"/>
          <w:lang w:eastAsia="it-IT"/>
        </w:rPr>
        <w:t>All’art. 7, comma 9, del D.Lgs. n. 285/1992 eliminare l’ultimo periodo.</w:t>
      </w:r>
    </w:p>
    <w:p w14:paraId="62CE699D" w14:textId="1460C9BF" w:rsidR="00AD33C8" w:rsidRDefault="00AD33C8" w:rsidP="00AD33C8">
      <w:pPr>
        <w:spacing w:after="80"/>
        <w:jc w:val="both"/>
        <w:rPr>
          <w:rFonts w:ascii="Bookman Old Style" w:hAnsi="Bookman Old Style"/>
        </w:rPr>
      </w:pPr>
    </w:p>
    <w:p w14:paraId="0A248262" w14:textId="77777777" w:rsidR="005A0BCA" w:rsidRPr="00A20489" w:rsidRDefault="005A0BCA" w:rsidP="004E27D8">
      <w:pPr>
        <w:pStyle w:val="Titolo1"/>
        <w:spacing w:before="0" w:after="80"/>
        <w:rPr>
          <w:rFonts w:ascii="Bookman Old Style" w:hAnsi="Bookman Old Style"/>
          <w:sz w:val="22"/>
          <w:szCs w:val="22"/>
        </w:rPr>
      </w:pPr>
    </w:p>
    <w:p w14:paraId="616A25D1" w14:textId="77777777" w:rsidR="00A33E98" w:rsidRDefault="00A33E98">
      <w:pPr>
        <w:rPr>
          <w:rFonts w:ascii="Bookman Old Style" w:eastAsiaTheme="majorEastAsia" w:hAnsi="Bookman Old Style" w:cstheme="majorBidi"/>
          <w:b/>
          <w:bCs/>
          <w:color w:val="2F5496" w:themeColor="accent1" w:themeShade="BF"/>
        </w:rPr>
      </w:pPr>
      <w:bookmarkStart w:id="86" w:name="_Toc112768637"/>
      <w:bookmarkStart w:id="87" w:name="_Toc117260624"/>
      <w:r>
        <w:rPr>
          <w:rFonts w:ascii="Bookman Old Style" w:hAnsi="Bookman Old Style"/>
          <w:b/>
          <w:bCs/>
        </w:rPr>
        <w:br w:type="page"/>
      </w:r>
    </w:p>
    <w:p w14:paraId="2DDABE63" w14:textId="1C8B8184" w:rsidR="009A5D7C" w:rsidRPr="00A20489" w:rsidRDefault="009A5D7C" w:rsidP="00321948">
      <w:pPr>
        <w:pStyle w:val="Titolo1"/>
        <w:spacing w:before="0" w:after="80"/>
        <w:rPr>
          <w:rFonts w:ascii="Bookman Old Style" w:hAnsi="Bookman Old Style"/>
          <w:b/>
          <w:bCs/>
          <w:sz w:val="22"/>
          <w:szCs w:val="22"/>
        </w:rPr>
      </w:pPr>
      <w:bookmarkStart w:id="88" w:name="_Toc121214309"/>
      <w:r w:rsidRPr="00A20489">
        <w:rPr>
          <w:rFonts w:ascii="Bookman Old Style" w:hAnsi="Bookman Old Style"/>
          <w:b/>
          <w:bCs/>
          <w:sz w:val="22"/>
          <w:szCs w:val="22"/>
        </w:rPr>
        <w:t>ISTRUZIONE E EDILIZIA SCOLASTICA</w:t>
      </w:r>
      <w:bookmarkEnd w:id="88"/>
    </w:p>
    <w:p w14:paraId="428F33A0" w14:textId="77777777" w:rsidR="009A5D7C" w:rsidRPr="00A20489" w:rsidRDefault="009A5D7C" w:rsidP="00321948">
      <w:pPr>
        <w:spacing w:after="80"/>
        <w:jc w:val="both"/>
        <w:rPr>
          <w:rFonts w:ascii="Bookman Old Style" w:hAnsi="Bookman Old Style" w:cs="Calibri"/>
        </w:rPr>
      </w:pPr>
      <w:bookmarkStart w:id="89" w:name="_Toc56678403"/>
      <w:bookmarkStart w:id="90" w:name="_Toc57396542"/>
    </w:p>
    <w:p w14:paraId="44763DBE" w14:textId="5C9ABC92" w:rsidR="009A5D7C" w:rsidRPr="00B6069C" w:rsidRDefault="0029054D"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91" w:name="_Toc121214310"/>
      <w:r w:rsidRPr="00B6069C">
        <w:rPr>
          <w:rFonts w:ascii="Bookman Old Style" w:hAnsi="Bookman Old Style"/>
          <w:b/>
          <w:bCs/>
          <w:color w:val="2F5496" w:themeColor="accent1" w:themeShade="BF"/>
          <w:sz w:val="22"/>
          <w:szCs w:val="22"/>
        </w:rPr>
        <w:t xml:space="preserve">Utilizzo economie del fondo trasporto scolastico </w:t>
      </w:r>
      <w:r w:rsidR="00AA5C4A" w:rsidRPr="00B6069C">
        <w:rPr>
          <w:rFonts w:ascii="Bookman Old Style" w:hAnsi="Bookman Old Style"/>
          <w:b/>
          <w:bCs/>
          <w:color w:val="2F5496" w:themeColor="accent1" w:themeShade="BF"/>
          <w:sz w:val="22"/>
          <w:szCs w:val="22"/>
        </w:rPr>
        <w:t>C</w:t>
      </w:r>
      <w:r w:rsidRPr="00B6069C">
        <w:rPr>
          <w:rFonts w:ascii="Bookman Old Style" w:hAnsi="Bookman Old Style"/>
          <w:b/>
          <w:bCs/>
          <w:color w:val="2F5496" w:themeColor="accent1" w:themeShade="BF"/>
          <w:sz w:val="22"/>
          <w:szCs w:val="22"/>
        </w:rPr>
        <w:t>ovid</w:t>
      </w:r>
      <w:bookmarkEnd w:id="91"/>
    </w:p>
    <w:p w14:paraId="28AEF7F5" w14:textId="5188D299" w:rsidR="001562D0" w:rsidRPr="008F2171" w:rsidRDefault="001562D0" w:rsidP="008F2171">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101 aggiungere il seguente art. 101</w:t>
      </w:r>
      <w:r w:rsidR="008F2171">
        <w:rPr>
          <w:rFonts w:ascii="Bookman Old Style" w:hAnsi="Bookman Old Style"/>
          <w:i/>
          <w:iCs/>
          <w:sz w:val="22"/>
          <w:szCs w:val="22"/>
        </w:rPr>
        <w:t>-</w:t>
      </w:r>
      <w:r w:rsidRPr="00A20489">
        <w:rPr>
          <w:rFonts w:ascii="Bookman Old Style" w:hAnsi="Bookman Old Style"/>
          <w:i/>
          <w:iCs/>
          <w:sz w:val="22"/>
          <w:szCs w:val="22"/>
        </w:rPr>
        <w:t>bis</w:t>
      </w:r>
      <w:r w:rsidR="008F2171">
        <w:rPr>
          <w:rFonts w:ascii="Bookman Old Style" w:hAnsi="Bookman Old Style"/>
          <w:i/>
          <w:iCs/>
          <w:sz w:val="22"/>
          <w:szCs w:val="22"/>
        </w:rPr>
        <w:t>:</w:t>
      </w:r>
    </w:p>
    <w:p w14:paraId="6DCB5F23" w14:textId="334E3BA8" w:rsidR="009A5D7C" w:rsidRPr="008F2171" w:rsidRDefault="006F2A81" w:rsidP="00321948">
      <w:pPr>
        <w:spacing w:after="80"/>
        <w:jc w:val="center"/>
        <w:rPr>
          <w:rFonts w:ascii="Bookman Old Style" w:hAnsi="Bookman Old Style" w:cs="Calibri"/>
          <w:i/>
          <w:iCs/>
        </w:rPr>
      </w:pPr>
      <w:r w:rsidRPr="008F2171">
        <w:rPr>
          <w:rFonts w:ascii="Bookman Old Style" w:hAnsi="Bookman Old Style" w:cs="Calibri"/>
          <w:i/>
          <w:iCs/>
        </w:rPr>
        <w:t>Art. 101-bis</w:t>
      </w:r>
      <w:r w:rsidR="008F2171" w:rsidRPr="008F2171">
        <w:rPr>
          <w:rFonts w:ascii="Bookman Old Style" w:hAnsi="Bookman Old Style" w:cs="Calibri"/>
          <w:i/>
          <w:iCs/>
        </w:rPr>
        <w:t xml:space="preserve"> </w:t>
      </w:r>
      <w:r w:rsidR="009A5D7C" w:rsidRPr="008F2171">
        <w:rPr>
          <w:rFonts w:ascii="Bookman Old Style" w:hAnsi="Bookman Old Style" w:cs="Calibri"/>
          <w:i/>
          <w:iCs/>
        </w:rPr>
        <w:t>(Destinazione agli aumenti delle materie prime dei fondi non utilizzati per le maggiori spese Covid nel trasporto scolastico)</w:t>
      </w:r>
    </w:p>
    <w:p w14:paraId="5CBED531" w14:textId="0126265B" w:rsidR="009A5D7C" w:rsidRPr="00A20489" w:rsidRDefault="009A5D7C" w:rsidP="00321948">
      <w:pPr>
        <w:spacing w:after="80"/>
        <w:jc w:val="both"/>
        <w:rPr>
          <w:rFonts w:ascii="Bookman Old Style" w:hAnsi="Bookman Old Style" w:cs="Calibri"/>
          <w:i/>
          <w:iCs/>
        </w:rPr>
      </w:pPr>
      <w:r w:rsidRPr="00A20489">
        <w:rPr>
          <w:rFonts w:ascii="Bookman Old Style" w:hAnsi="Bookman Old Style" w:cs="Calibri"/>
        </w:rPr>
        <w:t xml:space="preserve">Dopo l’art. 1, comma 790, della legge </w:t>
      </w:r>
      <w:bookmarkStart w:id="92" w:name="_Hlk118549122"/>
      <w:r w:rsidRPr="00A20489">
        <w:rPr>
          <w:rFonts w:ascii="Bookman Old Style" w:hAnsi="Bookman Old Style" w:cs="Calibri"/>
        </w:rPr>
        <w:t>30 dicembre 2020, n. 178</w:t>
      </w:r>
      <w:bookmarkEnd w:id="92"/>
      <w:r w:rsidRPr="00A20489">
        <w:rPr>
          <w:rFonts w:ascii="Bookman Old Style" w:hAnsi="Bookman Old Style" w:cs="Calibri"/>
        </w:rPr>
        <w:t>, è aggiunto il seguente</w:t>
      </w:r>
      <w:r w:rsidR="00201CD3" w:rsidRPr="00A20489">
        <w:rPr>
          <w:rFonts w:ascii="Bookman Old Style" w:hAnsi="Bookman Old Style" w:cs="Calibri"/>
        </w:rPr>
        <w:t>:</w:t>
      </w:r>
      <w:r w:rsidRPr="00A20489">
        <w:rPr>
          <w:rFonts w:ascii="Bookman Old Style" w:hAnsi="Bookman Old Style" w:cs="Calibri"/>
          <w:i/>
          <w:iCs/>
        </w:rPr>
        <w:t xml:space="preserve"> </w:t>
      </w:r>
    </w:p>
    <w:p w14:paraId="20059D0F" w14:textId="77777777" w:rsidR="009A5D7C" w:rsidRPr="00A20489" w:rsidRDefault="009A5D7C" w:rsidP="00AE30EE">
      <w:pPr>
        <w:spacing w:after="80"/>
        <w:ind w:left="284"/>
        <w:jc w:val="both"/>
        <w:rPr>
          <w:rFonts w:ascii="Bookman Old Style" w:hAnsi="Bookman Old Style" w:cs="Calibri"/>
        </w:rPr>
      </w:pPr>
      <w:r w:rsidRPr="00A20489">
        <w:rPr>
          <w:rFonts w:ascii="Bookman Old Style" w:hAnsi="Bookman Old Style" w:cs="Calibri"/>
          <w:i/>
          <w:iCs/>
        </w:rPr>
        <w:t>“</w:t>
      </w:r>
      <w:r w:rsidRPr="00A20489">
        <w:rPr>
          <w:rFonts w:ascii="Bookman Old Style" w:hAnsi="Bookman Old Style" w:cs="Calibri"/>
        </w:rPr>
        <w:t>Le economie che si verificano all’esito delle procedure di cui al precedente comma 790 sono utilizzate per consentire ai comuni l'erogazione dei servizi di trasporto scolastico anche a fronte dei maggiori costi derivanti dall’incremento dei prezzi ei carburanti, della gestione e manutenzione del parco veicoli. Con decreto del Ministero delle infrastrutture e dei trasporti, di concerto con il Ministero dell'istruzione e con il Ministero dell'economia e delle finanze, previa intesa in sede di Conferenza unificata di cui all'articolo 8 del decreto legislativo 28 agosto 1997, n. 281, da adottare entro sessanta giorni dalla data di entrata in vigore del presente comma, sono definiti i criteri di riparto e le assegnazioni ai singoli comuni”.</w:t>
      </w:r>
    </w:p>
    <w:p w14:paraId="2874C4FD" w14:textId="562AE0CC" w:rsidR="009A5D7C" w:rsidRPr="00A20489" w:rsidRDefault="003D1EF8" w:rsidP="00321948">
      <w:pPr>
        <w:widowControl w:val="0"/>
        <w:suppressAutoHyphens/>
        <w:spacing w:after="80"/>
        <w:jc w:val="center"/>
        <w:rPr>
          <w:rFonts w:ascii="Bookman Old Style" w:eastAsia="SimSun" w:hAnsi="Bookman Old Style" w:cstheme="minorHAnsi"/>
          <w:b/>
          <w:bCs/>
          <w:kern w:val="1"/>
          <w:lang w:eastAsia="hi-IN" w:bidi="hi-IN"/>
        </w:rPr>
      </w:pPr>
      <w:r w:rsidRPr="00A20489">
        <w:rPr>
          <w:rFonts w:ascii="Bookman Old Style" w:eastAsia="SimSun" w:hAnsi="Bookman Old Style" w:cstheme="minorHAnsi"/>
          <w:b/>
          <w:bCs/>
          <w:kern w:val="1"/>
          <w:lang w:eastAsia="hi-IN" w:bidi="hi-IN"/>
        </w:rPr>
        <w:t>Motivazione</w:t>
      </w:r>
    </w:p>
    <w:p w14:paraId="39337AD4" w14:textId="5CB59BE3" w:rsidR="009A5D7C" w:rsidRPr="00A20489" w:rsidRDefault="009A5D7C" w:rsidP="00321948">
      <w:pPr>
        <w:spacing w:after="80"/>
        <w:jc w:val="both"/>
        <w:rPr>
          <w:rFonts w:ascii="Bookman Old Style" w:hAnsi="Bookman Old Style" w:cs="Calibri"/>
          <w:i/>
          <w:iCs/>
        </w:rPr>
      </w:pPr>
      <w:r w:rsidRPr="00A20489">
        <w:rPr>
          <w:rFonts w:ascii="Bookman Old Style" w:hAnsi="Bookman Old Style" w:cs="Calibri"/>
          <w:i/>
          <w:iCs/>
        </w:rPr>
        <w:t>I Comuni hanno potuto fare istanza del finanziamento di cui all’art. 1, comma 790, della legge 30 dicembre 2020, n. 178, solo a giugno 2022. A tale data molti enti avevano già fronteggiato i maggiori costi derivanti dall’epidemia sanitaria utilizzando il cosiddetto fondone Covid. Si sono così verificate importanti economie pari a circa il 90% dell’intera somma stanziata. Nel</w:t>
      </w:r>
      <w:r w:rsidR="00BC5C23">
        <w:rPr>
          <w:rFonts w:ascii="Bookman Old Style" w:hAnsi="Bookman Old Style" w:cs="Calibri"/>
          <w:i/>
          <w:iCs/>
        </w:rPr>
        <w:t xml:space="preserve"> </w:t>
      </w:r>
      <w:r w:rsidRPr="00A20489">
        <w:rPr>
          <w:rFonts w:ascii="Bookman Old Style" w:hAnsi="Bookman Old Style" w:cs="Calibri"/>
          <w:i/>
          <w:iCs/>
        </w:rPr>
        <w:t>frattempo</w:t>
      </w:r>
      <w:r w:rsidR="00BC5C23">
        <w:rPr>
          <w:rFonts w:ascii="Bookman Old Style" w:hAnsi="Bookman Old Style" w:cs="Calibri"/>
          <w:i/>
          <w:iCs/>
        </w:rPr>
        <w:t xml:space="preserve">, </w:t>
      </w:r>
      <w:r w:rsidRPr="00A20489">
        <w:rPr>
          <w:rFonts w:ascii="Bookman Old Style" w:hAnsi="Bookman Old Style" w:cs="Calibri"/>
          <w:i/>
          <w:iCs/>
        </w:rPr>
        <w:t>la situazione internazionale ha prodotto una nuova emergenza per il trasporto scolastico dedicato, ovvero l’incremento dei prezzi dei carburanti e delle materie prime necessarie alla gestione e manutenzione dei mezzi. L’emendamento destina le risorse non utilizzate a tale necessità.</w:t>
      </w:r>
    </w:p>
    <w:p w14:paraId="5E66F740" w14:textId="77777777" w:rsidR="009E1B8B" w:rsidRDefault="009E1B8B" w:rsidP="009E1B8B">
      <w:pPr>
        <w:pStyle w:val="Titolo3"/>
        <w:spacing w:before="0" w:after="80"/>
        <w:rPr>
          <w:rFonts w:ascii="Bookman Old Style" w:hAnsi="Bookman Old Style"/>
          <w:b/>
          <w:bCs/>
          <w:color w:val="2F5496" w:themeColor="accent1" w:themeShade="BF"/>
          <w:sz w:val="22"/>
          <w:szCs w:val="22"/>
        </w:rPr>
      </w:pPr>
    </w:p>
    <w:p w14:paraId="1464B76E" w14:textId="60EF7BA3" w:rsidR="009A5D7C" w:rsidRPr="00B6069C" w:rsidRDefault="009A5D7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93" w:name="_Toc121214311"/>
      <w:r w:rsidRPr="00B6069C">
        <w:rPr>
          <w:rFonts w:ascii="Bookman Old Style" w:hAnsi="Bookman Old Style"/>
          <w:b/>
          <w:bCs/>
          <w:color w:val="2F5496" w:themeColor="accent1" w:themeShade="BF"/>
          <w:sz w:val="22"/>
          <w:szCs w:val="22"/>
        </w:rPr>
        <w:t>Mensa personale scolastico statale</w:t>
      </w:r>
      <w:bookmarkEnd w:id="93"/>
      <w:r w:rsidRPr="00B6069C">
        <w:rPr>
          <w:rFonts w:ascii="Bookman Old Style" w:hAnsi="Bookman Old Style"/>
          <w:b/>
          <w:bCs/>
          <w:color w:val="2F5496" w:themeColor="accent1" w:themeShade="BF"/>
          <w:sz w:val="22"/>
          <w:szCs w:val="22"/>
        </w:rPr>
        <w:t xml:space="preserve"> </w:t>
      </w:r>
    </w:p>
    <w:p w14:paraId="2D20ACE3" w14:textId="3507FAE7" w:rsidR="001562D0" w:rsidRPr="00A20489" w:rsidRDefault="001562D0" w:rsidP="001562D0">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101 aggiungere il seguente art. 101</w:t>
      </w:r>
      <w:r w:rsidR="0061714F">
        <w:rPr>
          <w:rFonts w:ascii="Bookman Old Style" w:hAnsi="Bookman Old Style"/>
          <w:i/>
          <w:iCs/>
          <w:sz w:val="22"/>
          <w:szCs w:val="22"/>
        </w:rPr>
        <w:t>-</w:t>
      </w:r>
      <w:r w:rsidRPr="00A20489">
        <w:rPr>
          <w:rFonts w:ascii="Bookman Old Style" w:hAnsi="Bookman Old Style"/>
          <w:i/>
          <w:iCs/>
          <w:sz w:val="22"/>
          <w:szCs w:val="22"/>
        </w:rPr>
        <w:t>bis</w:t>
      </w:r>
      <w:r w:rsidR="0061714F">
        <w:rPr>
          <w:rFonts w:ascii="Bookman Old Style" w:hAnsi="Bookman Old Style"/>
          <w:i/>
          <w:iCs/>
          <w:sz w:val="22"/>
          <w:szCs w:val="22"/>
        </w:rPr>
        <w:t>:</w:t>
      </w:r>
    </w:p>
    <w:p w14:paraId="16463D78" w14:textId="4D060CFB" w:rsidR="009A5D7C" w:rsidRPr="008D6054" w:rsidRDefault="0061714F" w:rsidP="00321948">
      <w:pPr>
        <w:spacing w:after="80"/>
        <w:jc w:val="center"/>
        <w:rPr>
          <w:rFonts w:ascii="Bookman Old Style" w:hAnsi="Bookman Old Style" w:cs="Calibri"/>
          <w:i/>
          <w:iCs/>
        </w:rPr>
      </w:pPr>
      <w:r w:rsidRPr="008D6054">
        <w:rPr>
          <w:rFonts w:ascii="Bookman Old Style" w:hAnsi="Bookman Old Style" w:cs="Calibri"/>
          <w:i/>
          <w:iCs/>
        </w:rPr>
        <w:t xml:space="preserve">Art. 101-bis </w:t>
      </w:r>
      <w:r w:rsidR="009A5D7C" w:rsidRPr="008D6054">
        <w:rPr>
          <w:rFonts w:ascii="Bookman Old Style" w:hAnsi="Bookman Old Style" w:cs="Calibri"/>
          <w:i/>
          <w:iCs/>
        </w:rPr>
        <w:t>(Modalità di ripartizione del contributo dello Stato ai Comuni per la fornitura dei pasti al personale scolastico statale)</w:t>
      </w:r>
    </w:p>
    <w:p w14:paraId="405F7021" w14:textId="77777777" w:rsidR="009A5D7C" w:rsidRPr="00A20489" w:rsidRDefault="009A5D7C" w:rsidP="00321948">
      <w:pPr>
        <w:spacing w:after="80"/>
        <w:jc w:val="both"/>
        <w:rPr>
          <w:rFonts w:ascii="Bookman Old Style" w:hAnsi="Bookman Old Style" w:cs="Calibri"/>
        </w:rPr>
      </w:pPr>
      <w:r w:rsidRPr="00A20489">
        <w:rPr>
          <w:rFonts w:ascii="Bookman Old Style" w:hAnsi="Bookman Old Style" w:cs="Calibri"/>
        </w:rPr>
        <w:t>Al comma 41 dell’art. 7 del decreto legge 6 luglio 2021, n. 95, sostituire le parole “</w:t>
      </w:r>
      <w:r w:rsidRPr="00A20489">
        <w:rPr>
          <w:rFonts w:ascii="Bookman Old Style" w:hAnsi="Bookman Old Style" w:cs="Calibri"/>
          <w:i/>
          <w:iCs/>
        </w:rPr>
        <w:t>in proporzione al numero di classi che accedono al servizio di mensa scolastica</w:t>
      </w:r>
      <w:r w:rsidRPr="00A20489">
        <w:rPr>
          <w:rFonts w:ascii="Bookman Old Style" w:hAnsi="Bookman Old Style" w:cs="Calibri"/>
        </w:rPr>
        <w:t>” con le parole “</w:t>
      </w:r>
      <w:r w:rsidRPr="00A20489">
        <w:rPr>
          <w:rFonts w:ascii="Bookman Old Style" w:hAnsi="Bookman Old Style" w:cs="Calibri"/>
          <w:i/>
          <w:iCs/>
        </w:rPr>
        <w:t>in proporzione al numero dei pasti effettivamente forniti al personale statale avente diritto</w:t>
      </w:r>
      <w:r w:rsidRPr="00A20489">
        <w:rPr>
          <w:rFonts w:ascii="Bookman Old Style" w:hAnsi="Bookman Old Style" w:cs="Calibri"/>
        </w:rPr>
        <w:t>”.</w:t>
      </w:r>
    </w:p>
    <w:p w14:paraId="386A94D3" w14:textId="71CC7A8C" w:rsidR="009A5D7C" w:rsidRPr="00A20489" w:rsidRDefault="003D1EF8" w:rsidP="00321948">
      <w:pPr>
        <w:spacing w:after="80"/>
        <w:jc w:val="center"/>
        <w:rPr>
          <w:rFonts w:ascii="Bookman Old Style" w:hAnsi="Bookman Old Style" w:cs="Calibri"/>
          <w:b/>
          <w:bCs/>
        </w:rPr>
      </w:pPr>
      <w:r w:rsidRPr="00A20489">
        <w:rPr>
          <w:rFonts w:ascii="Bookman Old Style" w:hAnsi="Bookman Old Style" w:cs="Calibri"/>
          <w:b/>
          <w:bCs/>
        </w:rPr>
        <w:t>Motivazione</w:t>
      </w:r>
    </w:p>
    <w:p w14:paraId="79A7EF59" w14:textId="77777777" w:rsidR="009A5D7C" w:rsidRPr="00A20489" w:rsidRDefault="009A5D7C" w:rsidP="00321948">
      <w:pPr>
        <w:spacing w:after="80"/>
        <w:jc w:val="both"/>
        <w:rPr>
          <w:rFonts w:ascii="Bookman Old Style" w:hAnsi="Bookman Old Style" w:cs="Calibri"/>
          <w:i/>
          <w:iCs/>
        </w:rPr>
      </w:pPr>
      <w:r w:rsidRPr="00A20489">
        <w:rPr>
          <w:rFonts w:ascii="Bookman Old Style" w:hAnsi="Bookman Old Style" w:cs="Calibri"/>
          <w:i/>
          <w:iCs/>
        </w:rPr>
        <w:t>Il comma 41 dell’art. 7 del decreto legge 6 luglio 2021, n. 95, stabilisce una modalità per la ripartizione del contributo dello Stato alle spese sostenute dai comuni per i pasti forniti al personale scolastico statale avente diritto. La modalità individuata, però, produce gravi iniquità nel riparto in quanto individua unicamente il criterio del numero delle classi senza tener conto delle notevoli differenze esistenti tra classi dove il diritto al pasto è per un solo insegnante e che utilizzano il servizio solo una o due giorni a settimana, come spesso accade nella scuola secondaria di primo grado, e classi dove il diritto al pasto è per due insegnanti e che utilizzano il servizio cinque giorni a settimana. L’emendamento proposto introduce un criterio oggettivo equo e indiscutibile in quanto dispone che il riparto venga effettuato sulla base dei pasti effettivamente forniti.</w:t>
      </w:r>
    </w:p>
    <w:p w14:paraId="50E2EFF3" w14:textId="77777777" w:rsidR="001F778A" w:rsidRDefault="001F778A" w:rsidP="001F778A">
      <w:pPr>
        <w:pStyle w:val="Titolo3"/>
        <w:spacing w:before="0" w:after="80"/>
        <w:jc w:val="both"/>
        <w:rPr>
          <w:rFonts w:ascii="Bookman Old Style" w:hAnsi="Bookman Old Style"/>
          <w:b/>
          <w:bCs/>
          <w:color w:val="2F5496" w:themeColor="accent1" w:themeShade="BF"/>
          <w:sz w:val="22"/>
          <w:szCs w:val="22"/>
        </w:rPr>
      </w:pPr>
      <w:bookmarkStart w:id="94" w:name="x__Toc532291295"/>
      <w:bookmarkStart w:id="95" w:name="x__Toc532220919"/>
      <w:bookmarkStart w:id="96" w:name="x__Toc531860355"/>
      <w:bookmarkStart w:id="97" w:name="x__Toc52544460"/>
      <w:bookmarkStart w:id="98" w:name="x__Toc24634029"/>
      <w:bookmarkStart w:id="99" w:name="x__Toc532291290"/>
      <w:bookmarkStart w:id="100" w:name="x__Toc532220914"/>
      <w:bookmarkStart w:id="101" w:name="x__Toc531860350"/>
      <w:bookmarkEnd w:id="89"/>
      <w:bookmarkEnd w:id="90"/>
      <w:bookmarkEnd w:id="94"/>
      <w:bookmarkEnd w:id="95"/>
      <w:bookmarkEnd w:id="96"/>
      <w:bookmarkEnd w:id="97"/>
      <w:bookmarkEnd w:id="98"/>
      <w:bookmarkEnd w:id="99"/>
      <w:bookmarkEnd w:id="100"/>
      <w:bookmarkEnd w:id="101"/>
    </w:p>
    <w:p w14:paraId="51FB30E7" w14:textId="4B57295C" w:rsidR="001562D0" w:rsidRPr="00B6069C" w:rsidRDefault="009A5D7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02" w:name="_Toc121214312"/>
      <w:r w:rsidRPr="00B6069C">
        <w:rPr>
          <w:rFonts w:ascii="Bookman Old Style" w:hAnsi="Bookman Old Style"/>
          <w:b/>
          <w:bCs/>
          <w:color w:val="2F5496" w:themeColor="accent1" w:themeShade="BF"/>
          <w:sz w:val="22"/>
          <w:szCs w:val="22"/>
        </w:rPr>
        <w:t>Fondo per l’assistenza all’autonomia e alla comunicazione degli alunni con disabilità</w:t>
      </w:r>
      <w:bookmarkEnd w:id="102"/>
    </w:p>
    <w:p w14:paraId="3A6C9B3C" w14:textId="77777777" w:rsidR="001562D0" w:rsidRPr="00A20489" w:rsidRDefault="001562D0" w:rsidP="001562D0">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101 aggiungere il seguente art. 101 bis</w:t>
      </w:r>
    </w:p>
    <w:p w14:paraId="5588B9F0" w14:textId="7280CE05" w:rsidR="0061714F" w:rsidRPr="0061714F" w:rsidRDefault="0061714F" w:rsidP="0061714F">
      <w:pPr>
        <w:shd w:val="clear" w:color="auto" w:fill="FFFFFF"/>
        <w:spacing w:after="80"/>
        <w:jc w:val="center"/>
        <w:rPr>
          <w:rFonts w:ascii="Bookman Old Style" w:hAnsi="Bookman Old Style" w:cs="Calibri"/>
          <w:i/>
          <w:iCs/>
          <w:color w:val="1C2024"/>
          <w:spacing w:val="3"/>
        </w:rPr>
      </w:pPr>
      <w:r w:rsidRPr="0061714F">
        <w:rPr>
          <w:rFonts w:ascii="Bookman Old Style" w:hAnsi="Bookman Old Style" w:cs="Calibri"/>
          <w:i/>
          <w:iCs/>
          <w:color w:val="1C2024"/>
          <w:spacing w:val="3"/>
        </w:rPr>
        <w:t>Art. 101-bis (incremento Fondo per l’assistenza all’autonomia e alla comunicazione degli alunni con disabilità</w:t>
      </w:r>
      <w:r>
        <w:rPr>
          <w:rFonts w:ascii="Bookman Old Style" w:hAnsi="Bookman Old Style" w:cs="Calibri"/>
          <w:i/>
          <w:iCs/>
          <w:color w:val="1C2024"/>
          <w:spacing w:val="3"/>
        </w:rPr>
        <w:t>)</w:t>
      </w:r>
    </w:p>
    <w:p w14:paraId="2E05DCCE" w14:textId="326B70C4" w:rsidR="009A5D7C" w:rsidRPr="00A20489" w:rsidRDefault="009A5D7C" w:rsidP="00321948">
      <w:pPr>
        <w:shd w:val="clear" w:color="auto" w:fill="FFFFFF"/>
        <w:spacing w:after="80"/>
        <w:jc w:val="both"/>
        <w:rPr>
          <w:rFonts w:ascii="Bookman Old Style" w:hAnsi="Bookman Old Style" w:cs="Calibri"/>
          <w:color w:val="1C2024"/>
          <w:spacing w:val="3"/>
        </w:rPr>
      </w:pPr>
      <w:r w:rsidRPr="00A20489">
        <w:rPr>
          <w:rFonts w:ascii="Bookman Old Style" w:hAnsi="Bookman Old Style" w:cs="Calibri"/>
          <w:color w:val="1C2024"/>
          <w:spacing w:val="3"/>
        </w:rPr>
        <w:t xml:space="preserve">Il fondo di cui all’articolo 1, </w:t>
      </w:r>
      <w:r w:rsidRPr="00A20489">
        <w:rPr>
          <w:rFonts w:ascii="Bookman Old Style" w:hAnsi="Bookman Old Style" w:cs="Calibri"/>
          <w:spacing w:val="3"/>
        </w:rPr>
        <w:t xml:space="preserve">comma </w:t>
      </w:r>
      <w:r w:rsidRPr="00A20489">
        <w:rPr>
          <w:rFonts w:ascii="Bookman Old Style" w:hAnsi="Bookman Old Style" w:cs="Calibri"/>
          <w:color w:val="1C2024"/>
          <w:spacing w:val="3"/>
        </w:rPr>
        <w:t>179, della legge 30 dicembre 2021, n.234, come modificato dai commi 1 e 2 dell’articolo 5-bis del decreto-legge 30 dicembre 2021, n.228, convertito, con modificazioni, dalla legge 25 febbraio 2022, n.15</w:t>
      </w:r>
      <w:r w:rsidR="00DF387E">
        <w:rPr>
          <w:rFonts w:ascii="Bookman Old Style" w:hAnsi="Bookman Old Style" w:cs="Calibri"/>
          <w:color w:val="1C2024"/>
          <w:spacing w:val="3"/>
        </w:rPr>
        <w:t>,</w:t>
      </w:r>
      <w:r w:rsidRPr="00A20489">
        <w:rPr>
          <w:rFonts w:ascii="Bookman Old Style" w:hAnsi="Bookman Old Style" w:cs="Calibri"/>
          <w:color w:val="1C2024"/>
          <w:spacing w:val="3"/>
        </w:rPr>
        <w:t xml:space="preserve"> è incrementato di ulteriori 100 </w:t>
      </w:r>
      <w:r w:rsidR="00A16998">
        <w:rPr>
          <w:rFonts w:ascii="Bookman Old Style" w:hAnsi="Bookman Old Style" w:cs="Calibri"/>
          <w:color w:val="1C2024"/>
          <w:spacing w:val="3"/>
        </w:rPr>
        <w:t xml:space="preserve">milioni </w:t>
      </w:r>
      <w:r w:rsidRPr="00A20489">
        <w:rPr>
          <w:rFonts w:ascii="Bookman Old Style" w:hAnsi="Bookman Old Style" w:cs="Calibri"/>
          <w:color w:val="1C2024"/>
          <w:spacing w:val="3"/>
        </w:rPr>
        <w:t>di euro a favore dei Comuni.</w:t>
      </w:r>
    </w:p>
    <w:p w14:paraId="04FDBE09" w14:textId="77777777" w:rsidR="009A5D7C" w:rsidRPr="00A20489" w:rsidRDefault="009A5D7C" w:rsidP="00321948">
      <w:pPr>
        <w:shd w:val="clear" w:color="auto" w:fill="FFFFFF"/>
        <w:spacing w:after="80"/>
        <w:jc w:val="center"/>
        <w:rPr>
          <w:rFonts w:ascii="Bookman Old Style" w:hAnsi="Bookman Old Style" w:cs="Calibri"/>
          <w:b/>
          <w:bCs/>
          <w:color w:val="000000"/>
        </w:rPr>
      </w:pPr>
      <w:r w:rsidRPr="00A20489">
        <w:rPr>
          <w:rFonts w:ascii="Bookman Old Style" w:hAnsi="Bookman Old Style" w:cs="Calibri"/>
          <w:b/>
          <w:bCs/>
          <w:color w:val="000000"/>
        </w:rPr>
        <w:t>Motivazione</w:t>
      </w:r>
    </w:p>
    <w:p w14:paraId="09BC81D8" w14:textId="45FBE7AE" w:rsidR="009A5D7C" w:rsidRPr="00A20489" w:rsidRDefault="009A5D7C" w:rsidP="00321948">
      <w:pPr>
        <w:shd w:val="clear" w:color="auto" w:fill="FFFFFF"/>
        <w:spacing w:after="80"/>
        <w:jc w:val="both"/>
        <w:rPr>
          <w:rFonts w:ascii="Bookman Old Style" w:hAnsi="Bookman Old Style" w:cs="Calibri"/>
          <w:i/>
          <w:iCs/>
          <w:color w:val="000000"/>
        </w:rPr>
      </w:pPr>
      <w:r w:rsidRPr="00A20489">
        <w:rPr>
          <w:rFonts w:ascii="Bookman Old Style" w:hAnsi="Bookman Old Style" w:cs="Calibri"/>
          <w:i/>
          <w:iCs/>
          <w:color w:val="000000"/>
        </w:rPr>
        <w:t>Con norma in Legge di Bilancio 234/2022 e successive modifiche è stato previsto il Fondo per l’assistenza all’autonomia e la comunicazione personale degli alunni con disabilità con una dotazione complessiva di 200 mln di euro, di cui 100 mln ai Comuni che per la prima volta ricevono risorse per tale servizio; e 100 mln per province e città metropolitane che ricevono tale contributo da diversi anni.</w:t>
      </w:r>
    </w:p>
    <w:p w14:paraId="1FCDF085" w14:textId="41ACB7AA" w:rsidR="009A5D7C" w:rsidRPr="00A20489" w:rsidRDefault="009A5D7C" w:rsidP="00321948">
      <w:pPr>
        <w:shd w:val="clear" w:color="auto" w:fill="FFFFFF"/>
        <w:spacing w:after="80"/>
        <w:jc w:val="both"/>
        <w:rPr>
          <w:rFonts w:ascii="Bookman Old Style" w:hAnsi="Bookman Old Style" w:cs="Calibri"/>
          <w:i/>
          <w:iCs/>
          <w:color w:val="000000"/>
        </w:rPr>
      </w:pPr>
      <w:r w:rsidRPr="00A20489">
        <w:rPr>
          <w:rFonts w:ascii="Bookman Old Style" w:hAnsi="Bookman Old Style" w:cs="Calibri"/>
          <w:i/>
          <w:iCs/>
          <w:color w:val="000000"/>
        </w:rPr>
        <w:t>L’emendamento è finalizzato ad incrementare le risorse a favore dei Comuni, al fine di</w:t>
      </w:r>
      <w:r w:rsidR="00901A9A">
        <w:rPr>
          <w:rFonts w:ascii="Bookman Old Style" w:hAnsi="Bookman Old Style" w:cs="Calibri"/>
          <w:i/>
          <w:iCs/>
          <w:color w:val="000000"/>
        </w:rPr>
        <w:t xml:space="preserve"> </w:t>
      </w:r>
      <w:r w:rsidRPr="00A20489">
        <w:rPr>
          <w:rFonts w:ascii="Bookman Old Style" w:hAnsi="Bookman Old Style" w:cs="Calibri"/>
          <w:i/>
          <w:iCs/>
          <w:color w:val="000000"/>
        </w:rPr>
        <w:t>avvicinare il contributo pro-capite per gli alunni/alunne nelle scuole di ogni ordine e grado. Va infatti tenuto conto che a fronte dei circa 277 mila</w:t>
      </w:r>
      <w:r w:rsidR="00901A9A">
        <w:rPr>
          <w:rFonts w:ascii="Bookman Old Style" w:hAnsi="Bookman Old Style" w:cs="Calibri"/>
          <w:i/>
          <w:iCs/>
          <w:color w:val="000000"/>
        </w:rPr>
        <w:t xml:space="preserve"> </w:t>
      </w:r>
      <w:r w:rsidRPr="00A20489">
        <w:rPr>
          <w:rFonts w:ascii="Bookman Old Style" w:hAnsi="Bookman Old Style" w:cs="Calibri"/>
          <w:i/>
          <w:iCs/>
          <w:color w:val="000000"/>
        </w:rPr>
        <w:t>alunni e alunne disabili delle scuole di ogni ordine e grado: circa 195 mila sono alunni presenti nelle scuole di</w:t>
      </w:r>
      <w:r w:rsidR="00404468">
        <w:rPr>
          <w:rFonts w:ascii="Bookman Old Style" w:hAnsi="Bookman Old Style" w:cs="Calibri"/>
          <w:i/>
          <w:iCs/>
          <w:color w:val="000000"/>
        </w:rPr>
        <w:t xml:space="preserve"> </w:t>
      </w:r>
      <w:r w:rsidRPr="00A20489">
        <w:rPr>
          <w:rFonts w:ascii="Bookman Old Style" w:hAnsi="Bookman Old Style" w:cs="Calibri"/>
          <w:i/>
          <w:iCs/>
          <w:color w:val="000000"/>
        </w:rPr>
        <w:t>competenza comunale e circa 82 mila alunni delle scuole di competenza di Città metropolitane e Provincie.</w:t>
      </w:r>
    </w:p>
    <w:p w14:paraId="3A90E8DF" w14:textId="09F4A5BD" w:rsidR="009A5D7C" w:rsidRPr="00A20489" w:rsidRDefault="009A5D7C" w:rsidP="00321948">
      <w:pPr>
        <w:shd w:val="clear" w:color="auto" w:fill="FFFFFF"/>
        <w:spacing w:after="80"/>
        <w:jc w:val="both"/>
        <w:rPr>
          <w:rFonts w:ascii="Bookman Old Style" w:hAnsi="Bookman Old Style" w:cs="Calibri"/>
          <w:i/>
          <w:iCs/>
          <w:color w:val="000000"/>
        </w:rPr>
      </w:pPr>
      <w:r w:rsidRPr="00A20489">
        <w:rPr>
          <w:rFonts w:ascii="Bookman Old Style" w:hAnsi="Bookman Old Style" w:cs="Calibri"/>
          <w:i/>
          <w:iCs/>
          <w:color w:val="000000"/>
        </w:rPr>
        <w:t xml:space="preserve">Dalle stime la spesa sostenuta dai Comuni per il servizio di assistenza si aggira intorno al </w:t>
      </w:r>
      <w:r w:rsidR="00C85626" w:rsidRPr="00A20489">
        <w:rPr>
          <w:rFonts w:ascii="Bookman Old Style" w:hAnsi="Bookman Old Style" w:cs="Calibri"/>
          <w:i/>
          <w:iCs/>
          <w:color w:val="000000"/>
        </w:rPr>
        <w:t>miliardo</w:t>
      </w:r>
      <w:r w:rsidRPr="00A20489">
        <w:rPr>
          <w:rFonts w:ascii="Bookman Old Style" w:hAnsi="Bookman Old Style" w:cs="Calibri"/>
          <w:i/>
          <w:iCs/>
          <w:color w:val="000000"/>
        </w:rPr>
        <w:t xml:space="preserve"> di euro annuo, a fronte della spesa delle città metropolitane e province che si stima di circa 400 milioni annui. </w:t>
      </w:r>
    </w:p>
    <w:p w14:paraId="66988A95" w14:textId="77777777" w:rsidR="009A5D7C" w:rsidRPr="00A20489" w:rsidRDefault="009A5D7C" w:rsidP="00321948">
      <w:pPr>
        <w:pStyle w:val="Titolo2"/>
        <w:spacing w:before="0" w:after="80"/>
        <w:rPr>
          <w:rFonts w:ascii="Bookman Old Style" w:eastAsia="Times New Roman" w:hAnsi="Bookman Old Style"/>
          <w:sz w:val="22"/>
          <w:szCs w:val="22"/>
        </w:rPr>
      </w:pPr>
    </w:p>
    <w:p w14:paraId="05096B05" w14:textId="5C1025A2" w:rsidR="009A5D7C" w:rsidRPr="00B6069C" w:rsidRDefault="007D0BE5"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03" w:name="_Toc121214313"/>
      <w:r w:rsidRPr="00B6069C">
        <w:rPr>
          <w:rFonts w:ascii="Bookman Old Style" w:hAnsi="Bookman Old Style"/>
          <w:b/>
          <w:bCs/>
          <w:color w:val="2F5496" w:themeColor="accent1" w:themeShade="BF"/>
          <w:sz w:val="22"/>
          <w:szCs w:val="22"/>
        </w:rPr>
        <w:t xml:space="preserve">Incarichi temporanei </w:t>
      </w:r>
      <w:r w:rsidR="009F54C2" w:rsidRPr="00B6069C">
        <w:rPr>
          <w:rFonts w:ascii="Bookman Old Style" w:hAnsi="Bookman Old Style"/>
          <w:b/>
          <w:bCs/>
          <w:color w:val="2F5496" w:themeColor="accent1" w:themeShade="BF"/>
          <w:sz w:val="22"/>
          <w:szCs w:val="22"/>
        </w:rPr>
        <w:t xml:space="preserve">nelle </w:t>
      </w:r>
      <w:r w:rsidR="00BB5A5B" w:rsidRPr="00B6069C">
        <w:rPr>
          <w:rFonts w:ascii="Bookman Old Style" w:hAnsi="Bookman Old Style"/>
          <w:b/>
          <w:bCs/>
          <w:color w:val="2F5496" w:themeColor="accent1" w:themeShade="BF"/>
          <w:sz w:val="22"/>
          <w:szCs w:val="22"/>
        </w:rPr>
        <w:t>scuole infanzia paritarie</w:t>
      </w:r>
      <w:bookmarkEnd w:id="103"/>
    </w:p>
    <w:p w14:paraId="5E655210" w14:textId="77777777" w:rsidR="001562D0" w:rsidRPr="00A20489" w:rsidRDefault="001562D0" w:rsidP="001562D0">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101 aggiungere il seguente art. 101 bis</w:t>
      </w:r>
    </w:p>
    <w:p w14:paraId="3943ABD6" w14:textId="3E02DD53" w:rsidR="00FC00C2" w:rsidRPr="00A20489" w:rsidRDefault="00FC00C2" w:rsidP="00FC00C2">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rt. 101</w:t>
      </w:r>
      <w:r>
        <w:rPr>
          <w:rFonts w:ascii="Bookman Old Style" w:hAnsi="Bookman Old Style"/>
          <w:i/>
          <w:iCs/>
          <w:sz w:val="22"/>
          <w:szCs w:val="22"/>
        </w:rPr>
        <w:t>-</w:t>
      </w:r>
      <w:r w:rsidRPr="00A20489">
        <w:rPr>
          <w:rFonts w:ascii="Bookman Old Style" w:hAnsi="Bookman Old Style"/>
          <w:i/>
          <w:iCs/>
          <w:sz w:val="22"/>
          <w:szCs w:val="22"/>
        </w:rPr>
        <w:t>bis</w:t>
      </w:r>
      <w:r>
        <w:rPr>
          <w:rFonts w:ascii="Bookman Old Style" w:hAnsi="Bookman Old Style"/>
          <w:i/>
          <w:iCs/>
          <w:sz w:val="22"/>
          <w:szCs w:val="22"/>
        </w:rPr>
        <w:t xml:space="preserve"> (Incarichi temporanei nelle scuole dell’infanzia paritarie)</w:t>
      </w:r>
    </w:p>
    <w:p w14:paraId="65DAA4A4" w14:textId="03A2F4D7" w:rsidR="009A5D7C" w:rsidRPr="00A20489" w:rsidRDefault="009A5D7C" w:rsidP="00321948">
      <w:pPr>
        <w:spacing w:after="80"/>
        <w:jc w:val="both"/>
        <w:rPr>
          <w:rFonts w:ascii="Bookman Old Style" w:hAnsi="Bookman Old Style" w:cs="Calibri"/>
        </w:rPr>
      </w:pPr>
      <w:r w:rsidRPr="00A20489">
        <w:rPr>
          <w:rFonts w:ascii="Bookman Old Style" w:hAnsi="Bookman Old Style" w:cs="Calibri"/>
        </w:rPr>
        <w:t>L’articolo 2-</w:t>
      </w:r>
      <w:r w:rsidRPr="00C458AF">
        <w:rPr>
          <w:rFonts w:ascii="Bookman Old Style" w:hAnsi="Bookman Old Style" w:cs="Calibri"/>
          <w:i/>
          <w:iCs/>
        </w:rPr>
        <w:t>ter</w:t>
      </w:r>
      <w:r w:rsidRPr="00A20489">
        <w:rPr>
          <w:rFonts w:ascii="Bookman Old Style" w:hAnsi="Bookman Old Style" w:cs="Calibri"/>
        </w:rPr>
        <w:t xml:space="preserve"> del decreto-legge 8 aprile 2020, n. 22, convertito, con modificazioni, dalla legge 6 giugno 2020, n. 41, è sostituito dal seguente:</w:t>
      </w:r>
    </w:p>
    <w:p w14:paraId="0FEB1461" w14:textId="336B98A4" w:rsidR="009A5D7C" w:rsidRPr="00A20489" w:rsidRDefault="00896E87" w:rsidP="00C458AF">
      <w:pPr>
        <w:spacing w:after="80"/>
        <w:rPr>
          <w:rFonts w:ascii="Bookman Old Style" w:hAnsi="Bookman Old Style" w:cs="Calibri"/>
        </w:rPr>
      </w:pPr>
      <w:r w:rsidRPr="00A20489">
        <w:rPr>
          <w:rFonts w:ascii="Bookman Old Style" w:hAnsi="Bookman Old Style" w:cs="Calibri"/>
        </w:rPr>
        <w:t>“</w:t>
      </w:r>
      <w:r w:rsidR="009A5D7C" w:rsidRPr="00A20489">
        <w:rPr>
          <w:rFonts w:ascii="Bookman Old Style" w:hAnsi="Bookman Old Style" w:cs="Calibri"/>
        </w:rPr>
        <w:t>Art. 2-</w:t>
      </w:r>
      <w:r w:rsidR="009A5D7C" w:rsidRPr="00A20489">
        <w:rPr>
          <w:rFonts w:ascii="Bookman Old Style" w:hAnsi="Bookman Old Style" w:cs="Calibri"/>
          <w:i/>
          <w:iCs/>
        </w:rPr>
        <w:t>ter</w:t>
      </w:r>
      <w:r w:rsidR="009A5D7C" w:rsidRPr="00A20489">
        <w:rPr>
          <w:rFonts w:ascii="Bookman Old Style" w:hAnsi="Bookman Old Style" w:cs="Calibri"/>
        </w:rPr>
        <w:t xml:space="preserve"> (Incarichi temporanei nelle scuole dell’infanzia paritarie).</w:t>
      </w:r>
    </w:p>
    <w:p w14:paraId="76D04F38" w14:textId="3CA97F57" w:rsidR="009A5D7C" w:rsidRPr="00A20489" w:rsidRDefault="00C458AF" w:rsidP="00321948">
      <w:pPr>
        <w:spacing w:after="80"/>
        <w:jc w:val="both"/>
        <w:rPr>
          <w:rFonts w:ascii="Bookman Old Style" w:hAnsi="Bookman Old Style" w:cs="Calibri"/>
        </w:rPr>
      </w:pPr>
      <w:r>
        <w:rPr>
          <w:rFonts w:ascii="Bookman Old Style" w:hAnsi="Bookman Old Style" w:cs="Calibri"/>
        </w:rPr>
        <w:t xml:space="preserve">1. </w:t>
      </w:r>
      <w:r w:rsidR="009A5D7C" w:rsidRPr="00A20489">
        <w:rPr>
          <w:rFonts w:ascii="Bookman Old Style" w:hAnsi="Bookman Old Style" w:cs="Calibri"/>
        </w:rPr>
        <w:t>Per garantire il regolare svolgimento delle attività nonché l’erogazione del servizio educativo nelle scuole dell’infanzia paritarie qualora si verifichi l’impossibilità di reperire, per i relativi incarichi in sostituzione, personale docente con il prescritto titolo di abilitazione, è consentito, in via straordinaria, per l’anno scolastico 2022/2023 e per l’anno scolastico 2023/2024, prevedere incarichi temporanei attingendo anche alle graduatorie degli educatori dei servizi educativi per l’infanzia in possesso di titolo idoneo per tali servizi, ai sensi del decreto legislativo 13 aprile 2017, n. 65. Il servizio prestato a seguito dei suddetti incarichi temporanei non è valido per gli aggiornamenti delle graduatorie di istituto delle scuole statali”.</w:t>
      </w:r>
    </w:p>
    <w:p w14:paraId="24975C7C" w14:textId="60829850" w:rsidR="009A5D7C" w:rsidRPr="00A20489" w:rsidRDefault="009604AA" w:rsidP="00321948">
      <w:pPr>
        <w:spacing w:after="80"/>
        <w:jc w:val="center"/>
        <w:rPr>
          <w:rFonts w:ascii="Bookman Old Style" w:hAnsi="Bookman Old Style" w:cs="Calibri"/>
          <w:b/>
          <w:bCs/>
        </w:rPr>
      </w:pPr>
      <w:r w:rsidRPr="00A20489">
        <w:rPr>
          <w:rFonts w:ascii="Bookman Old Style" w:hAnsi="Bookman Old Style" w:cs="Calibri"/>
          <w:b/>
          <w:bCs/>
        </w:rPr>
        <w:t>Motivazione</w:t>
      </w:r>
    </w:p>
    <w:p w14:paraId="3D4C6CAA" w14:textId="77777777" w:rsidR="009A5D7C" w:rsidRPr="00A20489" w:rsidRDefault="009A5D7C" w:rsidP="00321948">
      <w:pPr>
        <w:shd w:val="clear" w:color="auto" w:fill="FFFFFF"/>
        <w:spacing w:after="80"/>
        <w:jc w:val="both"/>
        <w:rPr>
          <w:rFonts w:ascii="Bookman Old Style" w:hAnsi="Bookman Old Style" w:cs="Calibri"/>
          <w:i/>
          <w:iCs/>
        </w:rPr>
      </w:pPr>
      <w:r w:rsidRPr="00A20489">
        <w:rPr>
          <w:rFonts w:ascii="Bookman Old Style" w:eastAsia="Times New Roman" w:hAnsi="Bookman Old Style" w:cs="Segoe UI"/>
          <w:i/>
          <w:iCs/>
          <w:color w:val="000000"/>
          <w:bdr w:val="none" w:sz="0" w:space="0" w:color="auto" w:frame="1"/>
          <w:lang w:eastAsia="it-IT"/>
        </w:rPr>
        <w:t xml:space="preserve">La proposta emendativa è finalizzata a consentire ai Comuni per tutto l'anno scolastico 2022/2023 e per il prossimo anno scolastico 2023/2024, qualora si verifichi l'impossibilità di reperire per le sostituzioni, personale docente con il prescritto titolo di abilitazione, l’affidamento di incarichi temporanei per le sostituzioni nelle scuole dell’infanzia comunali, attingendo alle graduatorie comunali degli educatori dei servizi educativi, in possesso di titolo idoneo a operare nei servizi per l’infanzia. </w:t>
      </w:r>
    </w:p>
    <w:p w14:paraId="3DA7836B" w14:textId="32FFA4F4" w:rsidR="000644CA" w:rsidRPr="00A20489" w:rsidRDefault="000644CA" w:rsidP="00B71A9B">
      <w:pPr>
        <w:shd w:val="clear" w:color="auto" w:fill="FFFFFF"/>
        <w:spacing w:after="80"/>
        <w:jc w:val="both"/>
        <w:rPr>
          <w:rFonts w:ascii="Bookman Old Style" w:eastAsiaTheme="majorEastAsia" w:hAnsi="Bookman Old Style" w:cstheme="majorBidi"/>
          <w:b/>
          <w:bCs/>
          <w:color w:val="2F5496" w:themeColor="accent1" w:themeShade="BF"/>
        </w:rPr>
      </w:pPr>
      <w:bookmarkStart w:id="104" w:name="x__Toc52544461"/>
      <w:bookmarkStart w:id="105" w:name="_Toc56678410"/>
      <w:bookmarkStart w:id="106" w:name="_Toc57396548"/>
      <w:bookmarkEnd w:id="104"/>
    </w:p>
    <w:p w14:paraId="282DE51C" w14:textId="533B296A" w:rsidR="009A5D7C" w:rsidRPr="00A104E9" w:rsidRDefault="009A5D7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07" w:name="_Toc121214314"/>
      <w:r w:rsidRPr="00A104E9">
        <w:rPr>
          <w:rFonts w:ascii="Bookman Old Style" w:hAnsi="Bookman Old Style"/>
          <w:b/>
          <w:bCs/>
          <w:color w:val="2F5496" w:themeColor="accent1" w:themeShade="BF"/>
          <w:sz w:val="22"/>
          <w:szCs w:val="22"/>
        </w:rPr>
        <w:t>Libri di testo scuole primarie</w:t>
      </w:r>
      <w:bookmarkEnd w:id="105"/>
      <w:bookmarkEnd w:id="106"/>
      <w:bookmarkEnd w:id="107"/>
    </w:p>
    <w:p w14:paraId="74887373" w14:textId="77777777" w:rsidR="001562D0" w:rsidRPr="00A20489" w:rsidRDefault="001562D0" w:rsidP="001562D0">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101 aggiungere il seguente art. 101 bis</w:t>
      </w:r>
    </w:p>
    <w:p w14:paraId="268B0FBD" w14:textId="1D22739B" w:rsidR="00C458AF" w:rsidRPr="00A20489" w:rsidRDefault="00C458AF" w:rsidP="00755FF5">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rt. 101</w:t>
      </w:r>
      <w:r w:rsidR="002B15D1">
        <w:rPr>
          <w:rFonts w:ascii="Bookman Old Style" w:hAnsi="Bookman Old Style"/>
          <w:i/>
          <w:iCs/>
          <w:sz w:val="22"/>
          <w:szCs w:val="22"/>
        </w:rPr>
        <w:t>-bis (</w:t>
      </w:r>
      <w:r w:rsidR="00755FF5">
        <w:rPr>
          <w:rFonts w:ascii="Bookman Old Style" w:hAnsi="Bookman Old Style"/>
          <w:i/>
          <w:iCs/>
          <w:sz w:val="22"/>
          <w:szCs w:val="22"/>
        </w:rPr>
        <w:t xml:space="preserve">Contributo a </w:t>
      </w:r>
      <w:r w:rsidR="00755FF5" w:rsidRPr="00755FF5">
        <w:rPr>
          <w:rFonts w:ascii="Bookman Old Style" w:hAnsi="Bookman Old Style"/>
          <w:i/>
          <w:iCs/>
          <w:sz w:val="22"/>
          <w:szCs w:val="22"/>
        </w:rPr>
        <w:t>rimborso oneri per l</w:t>
      </w:r>
      <w:r w:rsidR="002B15D1" w:rsidRPr="00755FF5">
        <w:rPr>
          <w:rFonts w:ascii="Bookman Old Style" w:hAnsi="Bookman Old Style"/>
          <w:i/>
          <w:iCs/>
          <w:sz w:val="22"/>
          <w:szCs w:val="22"/>
        </w:rPr>
        <w:t xml:space="preserve">ibri di testo </w:t>
      </w:r>
      <w:r w:rsidR="00755FF5" w:rsidRPr="00755FF5">
        <w:rPr>
          <w:rFonts w:ascii="Bookman Old Style" w:hAnsi="Bookman Old Style"/>
          <w:i/>
          <w:iCs/>
          <w:sz w:val="22"/>
          <w:szCs w:val="22"/>
        </w:rPr>
        <w:t xml:space="preserve">della </w:t>
      </w:r>
      <w:r w:rsidR="002B15D1" w:rsidRPr="00755FF5">
        <w:rPr>
          <w:rFonts w:ascii="Bookman Old Style" w:hAnsi="Bookman Old Style"/>
          <w:i/>
          <w:iCs/>
          <w:sz w:val="22"/>
          <w:szCs w:val="22"/>
        </w:rPr>
        <w:t>scuol</w:t>
      </w:r>
      <w:r w:rsidR="00755FF5" w:rsidRPr="00755FF5">
        <w:rPr>
          <w:rFonts w:ascii="Bookman Old Style" w:hAnsi="Bookman Old Style"/>
          <w:i/>
          <w:iCs/>
          <w:sz w:val="22"/>
          <w:szCs w:val="22"/>
        </w:rPr>
        <w:t>a</w:t>
      </w:r>
      <w:r w:rsidR="002B15D1" w:rsidRPr="00755FF5">
        <w:rPr>
          <w:rFonts w:ascii="Bookman Old Style" w:hAnsi="Bookman Old Style"/>
          <w:i/>
          <w:iCs/>
          <w:sz w:val="22"/>
          <w:szCs w:val="22"/>
        </w:rPr>
        <w:t xml:space="preserve"> primari</w:t>
      </w:r>
      <w:r w:rsidR="00755FF5" w:rsidRPr="00755FF5">
        <w:rPr>
          <w:rFonts w:ascii="Bookman Old Style" w:hAnsi="Bookman Old Style"/>
          <w:i/>
          <w:iCs/>
          <w:sz w:val="22"/>
          <w:szCs w:val="22"/>
        </w:rPr>
        <w:t>a)</w:t>
      </w:r>
    </w:p>
    <w:p w14:paraId="681E8A43" w14:textId="7C5A2B42" w:rsidR="009A5D7C" w:rsidRPr="00A20489" w:rsidRDefault="009A5D7C" w:rsidP="00321948">
      <w:pPr>
        <w:shd w:val="clear" w:color="auto" w:fill="FFFFFF"/>
        <w:spacing w:after="80"/>
        <w:jc w:val="both"/>
        <w:rPr>
          <w:rFonts w:ascii="Bookman Old Style" w:hAnsi="Bookman Old Style" w:cs="Calibri"/>
          <w:color w:val="000000"/>
          <w:lang w:eastAsia="it-IT"/>
        </w:rPr>
      </w:pPr>
      <w:r w:rsidRPr="00A20489">
        <w:rPr>
          <w:rFonts w:ascii="Bookman Old Style" w:hAnsi="Bookman Old Style" w:cs="Calibri"/>
          <w:color w:val="000000"/>
          <w:bdr w:val="none" w:sz="0" w:space="0" w:color="auto" w:frame="1"/>
        </w:rPr>
        <w:t>1.</w:t>
      </w:r>
      <w:r w:rsidR="00621542" w:rsidRPr="00A20489">
        <w:rPr>
          <w:rFonts w:ascii="Bookman Old Style" w:hAnsi="Bookman Old Style" w:cs="Calibri"/>
          <w:color w:val="000000"/>
          <w:bdr w:val="none" w:sz="0" w:space="0" w:color="auto" w:frame="1"/>
        </w:rPr>
        <w:t xml:space="preserve"> </w:t>
      </w:r>
      <w:r w:rsidRPr="00A20489">
        <w:rPr>
          <w:rFonts w:ascii="Bookman Old Style" w:hAnsi="Bookman Old Style" w:cs="Calibri"/>
          <w:color w:val="000000"/>
          <w:bdr w:val="none" w:sz="0" w:space="0" w:color="auto" w:frame="1"/>
        </w:rPr>
        <w:t xml:space="preserve">A </w:t>
      </w:r>
      <w:r w:rsidR="00621542" w:rsidRPr="00A20489">
        <w:rPr>
          <w:rFonts w:ascii="Bookman Old Style" w:hAnsi="Bookman Old Style" w:cs="Calibri"/>
          <w:color w:val="000000"/>
          <w:bdr w:val="none" w:sz="0" w:space="0" w:color="auto" w:frame="1"/>
        </w:rPr>
        <w:t xml:space="preserve">decorrere </w:t>
      </w:r>
      <w:r w:rsidRPr="00A20489">
        <w:rPr>
          <w:rFonts w:ascii="Bookman Old Style" w:hAnsi="Bookman Old Style" w:cs="Calibri"/>
          <w:color w:val="000000"/>
          <w:bdr w:val="none" w:sz="0" w:space="0" w:color="auto" w:frame="1"/>
        </w:rPr>
        <w:t xml:space="preserve">dal 2023 è stanziata la somma di 70 milioni di euro </w:t>
      </w:r>
      <w:r w:rsidR="00BD5DE4" w:rsidRPr="00A20489">
        <w:rPr>
          <w:rFonts w:ascii="Bookman Old Style" w:hAnsi="Bookman Old Style" w:cs="Calibri"/>
          <w:color w:val="000000"/>
          <w:bdr w:val="none" w:sz="0" w:space="0" w:color="auto" w:frame="1"/>
        </w:rPr>
        <w:t xml:space="preserve">annui </w:t>
      </w:r>
      <w:r w:rsidRPr="00A20489">
        <w:rPr>
          <w:rFonts w:ascii="Bookman Old Style" w:hAnsi="Bookman Old Style" w:cs="Calibri"/>
          <w:color w:val="000000"/>
          <w:bdr w:val="none" w:sz="0" w:space="0" w:color="auto" w:frame="1"/>
        </w:rPr>
        <w:t>destinata ai Comuni per il rimborso dei libri di testo, erogati gratuitamente, per tutti gli alunni della scuola primaria, secondo quanto previsto dagli artt.42 e 45 del D.P.R. 616/77.</w:t>
      </w:r>
    </w:p>
    <w:p w14:paraId="76AB08E0" w14:textId="2A3A7758" w:rsidR="009A5D7C" w:rsidRPr="00A20489" w:rsidRDefault="009A5D7C" w:rsidP="00321948">
      <w:pPr>
        <w:shd w:val="clear" w:color="auto" w:fill="FFFFFF"/>
        <w:spacing w:after="80"/>
        <w:jc w:val="both"/>
        <w:rPr>
          <w:rFonts w:ascii="Bookman Old Style" w:hAnsi="Bookman Old Style" w:cs="Calibri"/>
          <w:color w:val="000000"/>
        </w:rPr>
      </w:pPr>
      <w:r w:rsidRPr="00A20489">
        <w:rPr>
          <w:rFonts w:ascii="Bookman Old Style" w:hAnsi="Bookman Old Style" w:cs="Calibri"/>
          <w:color w:val="000000"/>
          <w:bdr w:val="none" w:sz="0" w:space="0" w:color="auto" w:frame="1"/>
        </w:rPr>
        <w:t>2. Resta confermato il finanziamento pari a 103 milioni di euro, appostati sul capitolo 2043 del bilancio del Ministero dell’Istruzione, dell’Università e della Ricerca, per la gratuità, totale o parziale, dei libri di testo in favore degli alunni che adempiono l'obbligo scolastico in possesso dei requisiti richiesti, in riferimento all’art. 27 della legge 448/98.</w:t>
      </w:r>
    </w:p>
    <w:p w14:paraId="7B035189" w14:textId="05A18110" w:rsidR="009A5D7C" w:rsidRPr="00A20489" w:rsidRDefault="009604AA" w:rsidP="00321948">
      <w:pPr>
        <w:shd w:val="clear" w:color="auto" w:fill="FFFFFF"/>
        <w:spacing w:after="80"/>
        <w:jc w:val="center"/>
        <w:rPr>
          <w:rFonts w:ascii="Bookman Old Style" w:hAnsi="Bookman Old Style" w:cs="Calibri"/>
          <w:b/>
          <w:bCs/>
          <w:color w:val="000000"/>
          <w:bdr w:val="none" w:sz="0" w:space="0" w:color="auto" w:frame="1"/>
          <w:lang w:eastAsia="it-IT"/>
        </w:rPr>
      </w:pPr>
      <w:r w:rsidRPr="00A20489">
        <w:rPr>
          <w:rFonts w:ascii="Bookman Old Style" w:hAnsi="Bookman Old Style" w:cs="Calibri"/>
          <w:b/>
          <w:bCs/>
          <w:color w:val="000000"/>
          <w:bdr w:val="none" w:sz="0" w:space="0" w:color="auto" w:frame="1"/>
          <w:lang w:eastAsia="it-IT"/>
        </w:rPr>
        <w:t>Motivazione</w:t>
      </w:r>
    </w:p>
    <w:p w14:paraId="68787EB3" w14:textId="2F3F5764" w:rsidR="009A5D7C" w:rsidRPr="00A20489" w:rsidRDefault="009A5D7C" w:rsidP="00321948">
      <w:pPr>
        <w:shd w:val="clear" w:color="auto" w:fill="FFFFFF"/>
        <w:spacing w:after="80"/>
        <w:jc w:val="both"/>
        <w:rPr>
          <w:rFonts w:ascii="Bookman Old Style" w:hAnsi="Bookman Old Style" w:cs="Calibri"/>
          <w:i/>
          <w:iCs/>
          <w:bdr w:val="none" w:sz="0" w:space="0" w:color="auto" w:frame="1"/>
        </w:rPr>
      </w:pPr>
      <w:r w:rsidRPr="00A20489">
        <w:rPr>
          <w:rFonts w:ascii="Bookman Old Style" w:hAnsi="Bookman Old Style" w:cs="Calibri"/>
          <w:i/>
          <w:iCs/>
          <w:color w:val="000000"/>
          <w:bdr w:val="none" w:sz="0" w:space="0" w:color="auto" w:frame="1"/>
        </w:rPr>
        <w:t>I Comuni continuano a sostenere gran parte del costo dei libri di testo delle scuole primarie di tutti gli alunni, circa 2.700.000 (ISTAT 2021), sia delle scuole statali che private, a prescindere dal reddito, a seguito del trasferimento della funzione relativa all’assistenza scolastica. A ciò vanno aggiunti gli aumenti annuali e la percentuale di inflazione, cui non corrisponde nessun aumento dei trasferimenti relativi per tale spesa.</w:t>
      </w:r>
      <w:r w:rsidR="00901A9A">
        <w:rPr>
          <w:rFonts w:ascii="Bookman Old Style" w:hAnsi="Bookman Old Style" w:cs="Calibri"/>
          <w:i/>
          <w:iCs/>
          <w:color w:val="000000"/>
          <w:bdr w:val="none" w:sz="0" w:space="0" w:color="auto" w:frame="1"/>
        </w:rPr>
        <w:t xml:space="preserve"> </w:t>
      </w:r>
      <w:r w:rsidRPr="00A20489">
        <w:rPr>
          <w:rFonts w:ascii="Bookman Old Style" w:hAnsi="Bookman Old Style" w:cs="Calibri"/>
          <w:i/>
          <w:iCs/>
          <w:color w:val="000000"/>
          <w:bdr w:val="none" w:sz="0" w:space="0" w:color="auto" w:frame="1"/>
          <w:shd w:val="clear" w:color="auto" w:fill="FFFFFF"/>
        </w:rPr>
        <w:t>Con l’ultimo decreto del Ministero dell’Istruzione relativo alla determinazione dei prezzi di copertina dei libri di testo della scuola primaria per l’as 2022/2023, si è verificato un aumento rispetto alle cifre dello scorso anno, dovuto all’adeguamento del tasso di inflazione programmata che, come risulta dal MEF (1,5%</w:t>
      </w:r>
      <w:r w:rsidRPr="00A20489">
        <w:rPr>
          <w:rFonts w:ascii="Bookman Old Style" w:hAnsi="Bookman Old Style" w:cs="Calibri"/>
          <w:i/>
          <w:iCs/>
          <w:color w:val="000000"/>
        </w:rPr>
        <w:t xml:space="preserve"> per l'anno 2022)</w:t>
      </w:r>
    </w:p>
    <w:p w14:paraId="71A196E7" w14:textId="77777777" w:rsidR="009A5D7C" w:rsidRPr="00A20489" w:rsidRDefault="009A5D7C" w:rsidP="00321948">
      <w:pPr>
        <w:shd w:val="clear" w:color="auto" w:fill="FFFFFF"/>
        <w:spacing w:after="80"/>
        <w:jc w:val="both"/>
        <w:rPr>
          <w:rFonts w:ascii="Bookman Old Style" w:hAnsi="Bookman Old Style" w:cs="Calibri"/>
          <w:i/>
          <w:iCs/>
          <w:color w:val="000000"/>
          <w:bdr w:val="none" w:sz="0" w:space="0" w:color="auto" w:frame="1"/>
          <w:shd w:val="clear" w:color="auto" w:fill="FFFFFF"/>
        </w:rPr>
      </w:pPr>
      <w:r w:rsidRPr="00A20489">
        <w:rPr>
          <w:rFonts w:ascii="Bookman Old Style" w:hAnsi="Bookman Old Style" w:cs="Calibri"/>
          <w:i/>
          <w:iCs/>
          <w:color w:val="000000"/>
          <w:bdr w:val="none" w:sz="0" w:space="0" w:color="auto" w:frame="1"/>
          <w:shd w:val="clear" w:color="auto" w:fill="FFFFFF"/>
        </w:rPr>
        <w:t>La proposta emendativa è finalizzata a chiedere un finanziamento a copertura degli oneri sostenuti dai Comuni.</w:t>
      </w:r>
    </w:p>
    <w:p w14:paraId="5F27221D" w14:textId="77777777" w:rsidR="009A5D7C" w:rsidRPr="00A20489" w:rsidRDefault="009A5D7C" w:rsidP="00321948">
      <w:pPr>
        <w:shd w:val="clear" w:color="auto" w:fill="FFFFFF"/>
        <w:spacing w:after="80"/>
        <w:jc w:val="both"/>
        <w:rPr>
          <w:rFonts w:ascii="Bookman Old Style" w:hAnsi="Bookman Old Style" w:cs="Calibri"/>
          <w:color w:val="000000"/>
          <w:bdr w:val="none" w:sz="0" w:space="0" w:color="auto" w:frame="1"/>
          <w:shd w:val="clear" w:color="auto" w:fill="FFFFFF"/>
        </w:rPr>
      </w:pPr>
    </w:p>
    <w:p w14:paraId="7B5498A9" w14:textId="71903288" w:rsidR="009A5D7C" w:rsidRPr="00A104E9" w:rsidRDefault="009A5D7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08" w:name="_Toc121214315"/>
      <w:r w:rsidRPr="00A104E9">
        <w:rPr>
          <w:rFonts w:ascii="Bookman Old Style" w:hAnsi="Bookman Old Style"/>
          <w:b/>
          <w:bCs/>
          <w:color w:val="2F5496" w:themeColor="accent1" w:themeShade="BF"/>
          <w:sz w:val="22"/>
          <w:szCs w:val="22"/>
        </w:rPr>
        <w:t>Fondo mense biologiche</w:t>
      </w:r>
      <w:bookmarkEnd w:id="108"/>
    </w:p>
    <w:p w14:paraId="28E46F07" w14:textId="2303848F" w:rsidR="001562D0" w:rsidRPr="00A20489" w:rsidRDefault="001562D0" w:rsidP="001D40B8">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101 aggiungere il seguente art. 101</w:t>
      </w:r>
      <w:r w:rsidR="001D40B8">
        <w:rPr>
          <w:rFonts w:ascii="Bookman Old Style" w:hAnsi="Bookman Old Style"/>
          <w:i/>
          <w:iCs/>
          <w:sz w:val="22"/>
          <w:szCs w:val="22"/>
        </w:rPr>
        <w:t>-</w:t>
      </w:r>
      <w:r w:rsidRPr="00A20489">
        <w:rPr>
          <w:rFonts w:ascii="Bookman Old Style" w:hAnsi="Bookman Old Style"/>
          <w:i/>
          <w:iCs/>
          <w:sz w:val="22"/>
          <w:szCs w:val="22"/>
        </w:rPr>
        <w:t>bis</w:t>
      </w:r>
    </w:p>
    <w:p w14:paraId="4DC6D2AE" w14:textId="25797C99" w:rsidR="00802BC6" w:rsidRPr="002372AE" w:rsidRDefault="00802BC6" w:rsidP="001D40B8">
      <w:pPr>
        <w:shd w:val="clear" w:color="auto" w:fill="FFFFFF"/>
        <w:spacing w:after="80"/>
        <w:jc w:val="center"/>
        <w:rPr>
          <w:rFonts w:ascii="Bookman Old Style" w:hAnsi="Bookman Old Style"/>
          <w:i/>
          <w:iCs/>
        </w:rPr>
      </w:pPr>
      <w:r w:rsidRPr="002372AE">
        <w:rPr>
          <w:rFonts w:ascii="Bookman Old Style" w:hAnsi="Bookman Old Style" w:cs="Calibri"/>
          <w:color w:val="333333"/>
          <w:bdr w:val="none" w:sz="0" w:space="0" w:color="auto" w:frame="1"/>
          <w:shd w:val="clear" w:color="auto" w:fill="FFFFFF"/>
        </w:rPr>
        <w:t>“</w:t>
      </w:r>
      <w:r w:rsidRPr="002372AE">
        <w:rPr>
          <w:rFonts w:ascii="Bookman Old Style" w:hAnsi="Bookman Old Style"/>
          <w:i/>
          <w:iCs/>
        </w:rPr>
        <w:t>Art. 101-bis (Incremento Fondo mense biologiche)</w:t>
      </w:r>
    </w:p>
    <w:p w14:paraId="2C6F353E" w14:textId="1512FAC6" w:rsidR="009A5D7C" w:rsidRPr="00802BC6" w:rsidRDefault="002372AE" w:rsidP="001D40B8">
      <w:pPr>
        <w:shd w:val="clear" w:color="auto" w:fill="FFFFFF"/>
        <w:spacing w:after="80"/>
        <w:jc w:val="both"/>
        <w:rPr>
          <w:rFonts w:ascii="Bookman Old Style" w:hAnsi="Bookman Old Style" w:cs="Calibri"/>
          <w:color w:val="000000"/>
          <w:lang w:eastAsia="it-IT"/>
        </w:rPr>
      </w:pPr>
      <w:r>
        <w:rPr>
          <w:rFonts w:ascii="Bookman Old Style" w:hAnsi="Bookman Old Style" w:cs="Calibri"/>
          <w:color w:val="333333"/>
          <w:bdr w:val="none" w:sz="0" w:space="0" w:color="auto" w:frame="1"/>
          <w:shd w:val="clear" w:color="auto" w:fill="FFFFFF"/>
        </w:rPr>
        <w:t xml:space="preserve">1. </w:t>
      </w:r>
      <w:r w:rsidR="009A5D7C" w:rsidRPr="00802BC6">
        <w:rPr>
          <w:rFonts w:ascii="Bookman Old Style" w:hAnsi="Bookman Old Style" w:cs="Calibri"/>
          <w:color w:val="333333"/>
          <w:bdr w:val="none" w:sz="0" w:space="0" w:color="auto" w:frame="1"/>
          <w:shd w:val="clear" w:color="auto" w:fill="FFFFFF"/>
        </w:rPr>
        <w:t>A decorrere dall’anno 2023 è incrementato di 5 milioni di euro il fondo per le mense biologiche di cui al comma 5</w:t>
      </w:r>
      <w:r>
        <w:rPr>
          <w:rFonts w:ascii="Bookman Old Style" w:hAnsi="Bookman Old Style" w:cs="Calibri"/>
          <w:color w:val="333333"/>
          <w:bdr w:val="none" w:sz="0" w:space="0" w:color="auto" w:frame="1"/>
          <w:shd w:val="clear" w:color="auto" w:fill="FFFFFF"/>
        </w:rPr>
        <w:t>-</w:t>
      </w:r>
      <w:r w:rsidR="009A5D7C" w:rsidRPr="002372AE">
        <w:rPr>
          <w:rFonts w:ascii="Bookman Old Style" w:hAnsi="Bookman Old Style" w:cs="Calibri"/>
          <w:i/>
          <w:iCs/>
          <w:color w:val="333333"/>
          <w:bdr w:val="none" w:sz="0" w:space="0" w:color="auto" w:frame="1"/>
          <w:shd w:val="clear" w:color="auto" w:fill="FFFFFF"/>
        </w:rPr>
        <w:t>bis</w:t>
      </w:r>
      <w:r w:rsidR="009A5D7C" w:rsidRPr="00802BC6">
        <w:rPr>
          <w:rFonts w:ascii="Bookman Old Style" w:hAnsi="Bookman Old Style" w:cs="Calibri"/>
          <w:color w:val="333333"/>
          <w:bdr w:val="none" w:sz="0" w:space="0" w:color="auto" w:frame="1"/>
          <w:shd w:val="clear" w:color="auto" w:fill="FFFFFF"/>
        </w:rPr>
        <w:t xml:space="preserve"> dell’art. 64 del decreto legge 24 aprile 2017, convertito </w:t>
      </w:r>
      <w:r w:rsidR="00A86FF8">
        <w:rPr>
          <w:rFonts w:ascii="Bookman Old Style" w:hAnsi="Bookman Old Style" w:cs="Calibri"/>
          <w:color w:val="333333"/>
          <w:bdr w:val="none" w:sz="0" w:space="0" w:color="auto" w:frame="1"/>
          <w:shd w:val="clear" w:color="auto" w:fill="FFFFFF"/>
        </w:rPr>
        <w:t xml:space="preserve">con modificazioni dalla </w:t>
      </w:r>
      <w:r w:rsidR="009A5D7C" w:rsidRPr="00802BC6">
        <w:rPr>
          <w:rFonts w:ascii="Bookman Old Style" w:hAnsi="Bookman Old Style" w:cs="Calibri"/>
          <w:color w:val="333333"/>
          <w:bdr w:val="none" w:sz="0" w:space="0" w:color="auto" w:frame="1"/>
          <w:shd w:val="clear" w:color="auto" w:fill="FFFFFF"/>
        </w:rPr>
        <w:t>legge 21 giugno 2017, n. 96</w:t>
      </w:r>
      <w:r w:rsidR="00A86FF8">
        <w:rPr>
          <w:rFonts w:ascii="Bookman Old Style" w:hAnsi="Bookman Old Style" w:cs="Calibri"/>
          <w:color w:val="333333"/>
          <w:bdr w:val="none" w:sz="0" w:space="0" w:color="auto" w:frame="1"/>
          <w:shd w:val="clear" w:color="auto" w:fill="FFFFFF"/>
        </w:rPr>
        <w:t>.</w:t>
      </w:r>
      <w:r w:rsidR="009A5D7C" w:rsidRPr="00802BC6">
        <w:rPr>
          <w:rFonts w:ascii="Bookman Old Style" w:hAnsi="Bookman Old Style" w:cs="Calibri"/>
          <w:color w:val="333333"/>
          <w:bdr w:val="none" w:sz="0" w:space="0" w:color="auto" w:frame="1"/>
          <w:shd w:val="clear" w:color="auto" w:fill="FFFFFF"/>
        </w:rPr>
        <w:t>”.</w:t>
      </w:r>
    </w:p>
    <w:p w14:paraId="40DBD5E4" w14:textId="1937D0AB" w:rsidR="009A5D7C" w:rsidRPr="00A20489" w:rsidRDefault="009604AA" w:rsidP="001D40B8">
      <w:pPr>
        <w:shd w:val="clear" w:color="auto" w:fill="FFFFFF"/>
        <w:spacing w:after="80"/>
        <w:jc w:val="center"/>
        <w:rPr>
          <w:rFonts w:ascii="Bookman Old Style" w:hAnsi="Bookman Old Style" w:cs="Calibri"/>
          <w:b/>
          <w:bCs/>
          <w:lang w:eastAsia="it-IT"/>
        </w:rPr>
      </w:pPr>
      <w:r w:rsidRPr="00A20489">
        <w:rPr>
          <w:rFonts w:ascii="Bookman Old Style" w:hAnsi="Bookman Old Style" w:cs="Calibri"/>
          <w:b/>
          <w:bCs/>
          <w:color w:val="000000"/>
          <w:lang w:eastAsia="it-IT"/>
        </w:rPr>
        <w:t>Motivazione</w:t>
      </w:r>
    </w:p>
    <w:p w14:paraId="1C1B06DC" w14:textId="0D4D00F9" w:rsidR="009A5D7C" w:rsidRPr="00A20489" w:rsidRDefault="009A5D7C" w:rsidP="001D40B8">
      <w:pPr>
        <w:shd w:val="clear" w:color="auto" w:fill="FFFFFF"/>
        <w:spacing w:after="80"/>
        <w:jc w:val="both"/>
        <w:rPr>
          <w:rFonts w:ascii="Bookman Old Style" w:hAnsi="Bookman Old Style" w:cs="Calibri"/>
          <w:i/>
          <w:iCs/>
          <w:color w:val="000000"/>
          <w:bdr w:val="none" w:sz="0" w:space="0" w:color="auto" w:frame="1"/>
          <w:lang w:eastAsia="it-IT"/>
        </w:rPr>
      </w:pPr>
      <w:r w:rsidRPr="00A20489">
        <w:rPr>
          <w:rFonts w:ascii="Bookman Old Style" w:hAnsi="Bookman Old Style" w:cs="Calibri"/>
          <w:i/>
          <w:iCs/>
          <w:color w:val="000000"/>
          <w:bdr w:val="none" w:sz="0" w:space="0" w:color="auto" w:frame="1"/>
          <w:shd w:val="clear" w:color="auto" w:fill="FFFFFF"/>
          <w:lang w:eastAsia="it-IT"/>
        </w:rPr>
        <w:t xml:space="preserve">Il decreto legge 50/17 convertito nella legge n. 96/17 ha istituito il fondo per le mense biologiche con una dotazione pari a 4 mln per il 2017, 10 mln per il 2018 e 2019 e 10 mln a decorrere dal 2020 per </w:t>
      </w:r>
      <w:r w:rsidRPr="00A20489">
        <w:rPr>
          <w:rFonts w:ascii="Bookman Old Style" w:hAnsi="Bookman Old Style" w:cs="Calibri"/>
          <w:i/>
          <w:iCs/>
          <w:color w:val="000000"/>
          <w:bdr w:val="none" w:sz="0" w:space="0" w:color="auto" w:frame="1"/>
          <w:lang w:eastAsia="it-IT"/>
        </w:rPr>
        <w:t>ridurre i costi a carico dei beneficiari e a realizzare iniziative di promozione per incentivare il consumo dei prodotti biologici nelle scuole.</w:t>
      </w:r>
      <w:r w:rsidRPr="00A20489">
        <w:rPr>
          <w:rFonts w:ascii="Bookman Old Style" w:hAnsi="Bookman Old Style" w:cs="Calibri"/>
          <w:i/>
          <w:iCs/>
          <w:color w:val="000000"/>
          <w:lang w:eastAsia="it-IT"/>
        </w:rPr>
        <w:t xml:space="preserve"> </w:t>
      </w:r>
      <w:r w:rsidRPr="00A20489">
        <w:rPr>
          <w:rFonts w:ascii="Bookman Old Style" w:hAnsi="Bookman Old Style" w:cs="Calibri"/>
          <w:i/>
          <w:iCs/>
          <w:color w:val="000000"/>
          <w:bdr w:val="none" w:sz="0" w:space="0" w:color="auto" w:frame="1"/>
          <w:lang w:eastAsia="it-IT"/>
        </w:rPr>
        <w:t>A decorrere dal 2020 le risorse del fondo inizialmente previste in 10 mln, sono state ridotte a 5 mln. La proposta emendativa è finalizzata a richiedere il ripristino della somma originariamente stanziata</w:t>
      </w:r>
      <w:r w:rsidR="009604AA" w:rsidRPr="00A20489">
        <w:rPr>
          <w:rFonts w:ascii="Bookman Old Style" w:hAnsi="Bookman Old Style" w:cs="Calibri"/>
          <w:i/>
          <w:iCs/>
          <w:color w:val="000000"/>
          <w:bdr w:val="none" w:sz="0" w:space="0" w:color="auto" w:frame="1"/>
          <w:lang w:eastAsia="it-IT"/>
        </w:rPr>
        <w:t>.</w:t>
      </w:r>
    </w:p>
    <w:p w14:paraId="53E2F785" w14:textId="7D8FC5A2" w:rsidR="009A5D7C" w:rsidRDefault="009A5D7C" w:rsidP="001D40B8">
      <w:pPr>
        <w:shd w:val="clear" w:color="auto" w:fill="FFFFFF"/>
        <w:spacing w:after="80"/>
        <w:jc w:val="both"/>
        <w:rPr>
          <w:rFonts w:ascii="Bookman Old Style" w:hAnsi="Bookman Old Style" w:cs="Calibri"/>
          <w:color w:val="000000"/>
          <w:bdr w:val="none" w:sz="0" w:space="0" w:color="auto" w:frame="1"/>
          <w:lang w:eastAsia="it-IT"/>
        </w:rPr>
      </w:pPr>
    </w:p>
    <w:p w14:paraId="6EE5FE98" w14:textId="77777777" w:rsidR="009032FA" w:rsidRDefault="009032FA">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0F9DD822" w14:textId="40E46D12" w:rsidR="00B67C5A" w:rsidRPr="00B67C5A" w:rsidRDefault="00B67C5A"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09" w:name="_Toc121214316"/>
      <w:r w:rsidRPr="00B67C5A">
        <w:rPr>
          <w:rFonts w:ascii="Bookman Old Style" w:hAnsi="Bookman Old Style"/>
          <w:b/>
          <w:bCs/>
          <w:color w:val="2F5496" w:themeColor="accent1" w:themeShade="BF"/>
          <w:sz w:val="22"/>
          <w:szCs w:val="22"/>
        </w:rPr>
        <w:t>Dimensionamento rete scolastica</w:t>
      </w:r>
      <w:bookmarkEnd w:id="109"/>
    </w:p>
    <w:p w14:paraId="74B9D74A" w14:textId="699FEC7B" w:rsidR="00B67C5A" w:rsidRPr="00B67C5A" w:rsidRDefault="00B67C5A" w:rsidP="00D41BC1">
      <w:pPr>
        <w:spacing w:after="80"/>
        <w:rPr>
          <w:rFonts w:ascii="Bookman Old Style" w:hAnsi="Bookman Old Style"/>
        </w:rPr>
      </w:pPr>
      <w:r w:rsidRPr="00B67C5A">
        <w:rPr>
          <w:rFonts w:ascii="Bookman Old Style" w:hAnsi="Bookman Old Style"/>
        </w:rPr>
        <w:t>Art. 99</w:t>
      </w:r>
      <w:r w:rsidR="00D41BC1">
        <w:rPr>
          <w:rFonts w:ascii="Bookman Old Style" w:hAnsi="Bookman Old Style"/>
        </w:rPr>
        <w:t xml:space="preserve"> </w:t>
      </w:r>
      <w:r w:rsidRPr="00B67C5A">
        <w:rPr>
          <w:rFonts w:ascii="Bookman Old Style" w:hAnsi="Bookman Old Style"/>
        </w:rPr>
        <w:t>(Misure per la riforma della definizione e riorganizzazione del sistema della rete scolastica)</w:t>
      </w:r>
    </w:p>
    <w:p w14:paraId="6EE867FC" w14:textId="6DE9BFAD" w:rsidR="00B67C5A" w:rsidRPr="00B67C5A" w:rsidRDefault="00B67C5A" w:rsidP="00D41BC1">
      <w:pPr>
        <w:spacing w:after="80"/>
        <w:jc w:val="both"/>
        <w:rPr>
          <w:rFonts w:ascii="Bookman Old Style" w:hAnsi="Bookman Old Style"/>
        </w:rPr>
      </w:pPr>
      <w:r w:rsidRPr="00B67C5A">
        <w:rPr>
          <w:rFonts w:ascii="Bookman Old Style" w:hAnsi="Bookman Old Style"/>
          <w:i/>
          <w:iCs/>
        </w:rPr>
        <w:t xml:space="preserve">Al </w:t>
      </w:r>
      <w:r w:rsidR="00407438">
        <w:rPr>
          <w:rFonts w:ascii="Bookman Old Style" w:hAnsi="Bookman Old Style"/>
          <w:i/>
          <w:iCs/>
        </w:rPr>
        <w:t>c</w:t>
      </w:r>
      <w:r w:rsidRPr="00B67C5A">
        <w:rPr>
          <w:rFonts w:ascii="Bookman Old Style" w:hAnsi="Bookman Old Style"/>
          <w:i/>
          <w:iCs/>
        </w:rPr>
        <w:t>omma 5-quater dopo le parole</w:t>
      </w:r>
      <w:r w:rsidRPr="00B67C5A">
        <w:rPr>
          <w:rFonts w:ascii="Bookman Old Style" w:hAnsi="Bookman Old Style"/>
        </w:rPr>
        <w:t xml:space="preserve"> “nonché della necessità di salvaguardare le specificità derivanti dalle istituzioni presenti nei comuni montani, nelle piccole isole” </w:t>
      </w:r>
      <w:r w:rsidRPr="00B67C5A">
        <w:rPr>
          <w:rFonts w:ascii="Bookman Old Style" w:hAnsi="Bookman Old Style"/>
          <w:i/>
          <w:iCs/>
        </w:rPr>
        <w:t>inserire le parole</w:t>
      </w:r>
      <w:r w:rsidRPr="00B67C5A">
        <w:rPr>
          <w:rFonts w:ascii="Bookman Old Style" w:hAnsi="Bookman Old Style"/>
        </w:rPr>
        <w:t xml:space="preserve"> “, nelle aree interne” </w:t>
      </w:r>
      <w:r w:rsidRPr="00B67C5A">
        <w:rPr>
          <w:rFonts w:ascii="Bookman Old Style" w:hAnsi="Bookman Old Style"/>
          <w:i/>
          <w:iCs/>
        </w:rPr>
        <w:t>e al comma 5-quinqu</w:t>
      </w:r>
      <w:r>
        <w:rPr>
          <w:rFonts w:ascii="Bookman Old Style" w:hAnsi="Bookman Old Style"/>
          <w:i/>
          <w:iCs/>
        </w:rPr>
        <w:t>i</w:t>
      </w:r>
      <w:r w:rsidRPr="00B67C5A">
        <w:rPr>
          <w:rFonts w:ascii="Bookman Old Style" w:hAnsi="Bookman Old Style"/>
          <w:i/>
          <w:iCs/>
        </w:rPr>
        <w:t>es dopo le parole</w:t>
      </w:r>
      <w:r w:rsidRPr="00B67C5A">
        <w:rPr>
          <w:rFonts w:ascii="Bookman Old Style" w:hAnsi="Bookman Old Style"/>
        </w:rPr>
        <w:t xml:space="preserve"> “ferma restando la necessità di salvaguardare le specificità derivanti dalle istituzioni presenti nei comuni montani, nelle piccole isole” </w:t>
      </w:r>
      <w:r w:rsidRPr="00B67C5A">
        <w:rPr>
          <w:rFonts w:ascii="Bookman Old Style" w:hAnsi="Bookman Old Style"/>
          <w:i/>
          <w:iCs/>
        </w:rPr>
        <w:t>inserire le parole</w:t>
      </w:r>
      <w:r w:rsidRPr="00B67C5A">
        <w:rPr>
          <w:rFonts w:ascii="Bookman Old Style" w:hAnsi="Bookman Old Style"/>
        </w:rPr>
        <w:t xml:space="preserve"> “, nelle aree interne” </w:t>
      </w:r>
      <w:r w:rsidRPr="00B67C5A">
        <w:rPr>
          <w:rFonts w:ascii="Bookman Old Style" w:hAnsi="Bookman Old Style"/>
          <w:i/>
          <w:iCs/>
        </w:rPr>
        <w:t>e al comma 5-sexies prima delle parole</w:t>
      </w:r>
      <w:r w:rsidRPr="00B67C5A">
        <w:rPr>
          <w:rFonts w:ascii="Bookman Old Style" w:hAnsi="Bookman Old Style"/>
        </w:rPr>
        <w:t xml:space="preserve"> “In sede di prima applicazione,” </w:t>
      </w:r>
      <w:r w:rsidRPr="00B67C5A">
        <w:rPr>
          <w:rFonts w:ascii="Bookman Old Style" w:hAnsi="Bookman Old Style"/>
          <w:i/>
          <w:iCs/>
        </w:rPr>
        <w:t>inserire le parole</w:t>
      </w:r>
      <w:r w:rsidRPr="00B67C5A">
        <w:rPr>
          <w:rFonts w:ascii="Bookman Old Style" w:hAnsi="Bookman Old Style"/>
        </w:rPr>
        <w:t xml:space="preserve"> “Ferma restando l’estensione della salvaguardia anche per le scuole presenti nelle aree interne,”.</w:t>
      </w:r>
    </w:p>
    <w:p w14:paraId="0410CFF5" w14:textId="3C3FE016" w:rsidR="00B67C5A" w:rsidRPr="00B67C5A" w:rsidRDefault="00B67C5A" w:rsidP="00D41BC1">
      <w:pPr>
        <w:spacing w:after="80"/>
        <w:jc w:val="center"/>
        <w:rPr>
          <w:rFonts w:ascii="Bookman Old Style" w:hAnsi="Bookman Old Style"/>
          <w:b/>
          <w:bCs/>
        </w:rPr>
      </w:pPr>
      <w:r>
        <w:rPr>
          <w:rFonts w:ascii="Bookman Old Style" w:hAnsi="Bookman Old Style"/>
          <w:b/>
          <w:bCs/>
        </w:rPr>
        <w:t>M</w:t>
      </w:r>
      <w:r w:rsidRPr="00B67C5A">
        <w:rPr>
          <w:rFonts w:ascii="Bookman Old Style" w:hAnsi="Bookman Old Style"/>
          <w:b/>
          <w:bCs/>
        </w:rPr>
        <w:t>otivazione</w:t>
      </w:r>
    </w:p>
    <w:p w14:paraId="140690D2" w14:textId="77777777" w:rsidR="00B67C5A" w:rsidRPr="00B67C5A" w:rsidRDefault="00B67C5A" w:rsidP="00D41BC1">
      <w:pPr>
        <w:spacing w:after="80"/>
        <w:jc w:val="both"/>
        <w:rPr>
          <w:rFonts w:ascii="Bookman Old Style" w:hAnsi="Bookman Old Style"/>
          <w:i/>
          <w:iCs/>
        </w:rPr>
      </w:pPr>
      <w:r w:rsidRPr="00B67C5A">
        <w:rPr>
          <w:rFonts w:ascii="Bookman Old Style" w:hAnsi="Bookman Old Style"/>
          <w:i/>
          <w:iCs/>
        </w:rPr>
        <w:t>L’emendamento proposto inserisce una modifica ad una clausola già presente nella norma che stabilisce la necessità di salvaguardare le specificità delle istituzioni scolastiche operanti nei comuni montani e nelle piccole isole inserendo anche le istituzioni scolastiche operanti nelle aree interne. Tale necessità è coerente con quanto previsto nella Missione 4, Riforma 1.3 del PNRR ove è indicato quanto segue: “Riforma 1.3: Riforma dell’organizzazione del sistema scolastico - La riforma consente di ripensare all’organizzazione del sistema scolastico con l’obiettivo di fornire soluzioni concrete a due tematiche in particolare: la riduzione del numero degli alunni per classe e il dimensionamento della rete scolastica. In tale ottica si pone il superamento dell’identità tra classe demografica e aula, anche al fine di rivedere il modello di scuola. Ciò, consentirà di affrontare situazioni complesse sotto numerosi profili, ad esempio le problematiche scolastiche nelle aree di montagna, nelle aree interne e nelle scuole di vallata.”. Come noto, le aree interne sono territori fragili, distanti dai centri principali di offerta dei servizi essenziali e troppo spesso abbandonati a loro stessi, sulle quali è necessario intervenire in ogni modo per contrastandone l’emorragia demografica.</w:t>
      </w:r>
    </w:p>
    <w:p w14:paraId="0252CEB1" w14:textId="1E43EFC9" w:rsidR="00B67C5A" w:rsidRDefault="00B67C5A" w:rsidP="00D41BC1">
      <w:pPr>
        <w:shd w:val="clear" w:color="auto" w:fill="FFFFFF"/>
        <w:spacing w:after="80"/>
        <w:jc w:val="both"/>
        <w:rPr>
          <w:rFonts w:ascii="Bookman Old Style" w:hAnsi="Bookman Old Style" w:cs="Calibri"/>
          <w:color w:val="000000"/>
          <w:bdr w:val="none" w:sz="0" w:space="0" w:color="auto" w:frame="1"/>
          <w:lang w:eastAsia="it-IT"/>
        </w:rPr>
      </w:pPr>
    </w:p>
    <w:p w14:paraId="1E686593" w14:textId="38BA8820" w:rsidR="008D0643" w:rsidRDefault="001A4638" w:rsidP="00321948">
      <w:pPr>
        <w:pStyle w:val="Titolo1"/>
        <w:spacing w:before="0" w:after="80"/>
        <w:rPr>
          <w:rFonts w:ascii="Bookman Old Style" w:eastAsia="Times New Roman" w:hAnsi="Bookman Old Style"/>
          <w:b/>
          <w:bCs/>
          <w:sz w:val="22"/>
          <w:szCs w:val="22"/>
          <w:lang w:eastAsia="it-IT"/>
        </w:rPr>
      </w:pPr>
      <w:bookmarkStart w:id="110" w:name="_Toc121214317"/>
      <w:bookmarkEnd w:id="86"/>
      <w:bookmarkEnd w:id="87"/>
      <w:r w:rsidRPr="003F63DD">
        <w:rPr>
          <w:rFonts w:ascii="Bookman Old Style" w:eastAsia="Times New Roman" w:hAnsi="Bookman Old Style"/>
          <w:b/>
          <w:bCs/>
          <w:sz w:val="22"/>
          <w:szCs w:val="22"/>
          <w:lang w:eastAsia="it-IT"/>
        </w:rPr>
        <w:t xml:space="preserve">CULTURA </w:t>
      </w:r>
      <w:r w:rsidR="00505315" w:rsidRPr="003F63DD">
        <w:rPr>
          <w:rFonts w:ascii="Bookman Old Style" w:eastAsia="Times New Roman" w:hAnsi="Bookman Old Style"/>
          <w:b/>
          <w:bCs/>
          <w:sz w:val="22"/>
          <w:szCs w:val="22"/>
          <w:lang w:eastAsia="it-IT"/>
        </w:rPr>
        <w:t>–</w:t>
      </w:r>
      <w:r w:rsidRPr="003F63DD">
        <w:rPr>
          <w:rFonts w:ascii="Bookman Old Style" w:eastAsia="Times New Roman" w:hAnsi="Bookman Old Style"/>
          <w:b/>
          <w:bCs/>
          <w:sz w:val="22"/>
          <w:szCs w:val="22"/>
          <w:lang w:eastAsia="it-IT"/>
        </w:rPr>
        <w:t xml:space="preserve"> TURISMO</w:t>
      </w:r>
      <w:bookmarkEnd w:id="110"/>
    </w:p>
    <w:p w14:paraId="281F95A4" w14:textId="77777777" w:rsidR="009032FA" w:rsidRPr="009032FA" w:rsidRDefault="009032FA" w:rsidP="009032FA">
      <w:pPr>
        <w:rPr>
          <w:lang w:eastAsia="it-IT"/>
        </w:rPr>
      </w:pPr>
    </w:p>
    <w:p w14:paraId="58955507" w14:textId="0A83E27F" w:rsidR="008D0643" w:rsidRPr="003F63DD" w:rsidRDefault="008D064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1" w:name="_Toc121214318"/>
      <w:r w:rsidRPr="003F63DD">
        <w:rPr>
          <w:rFonts w:ascii="Bookman Old Style" w:hAnsi="Bookman Old Style"/>
          <w:b/>
          <w:bCs/>
          <w:color w:val="2F5496" w:themeColor="accent1" w:themeShade="BF"/>
          <w:sz w:val="22"/>
          <w:szCs w:val="22"/>
        </w:rPr>
        <w:t>Fondo per il funzionamento dei piccoli musei</w:t>
      </w:r>
      <w:bookmarkEnd w:id="111"/>
    </w:p>
    <w:p w14:paraId="1FCF685A" w14:textId="432FF178" w:rsidR="001562D0" w:rsidRPr="003F63DD" w:rsidRDefault="001562D0" w:rsidP="001562D0">
      <w:pPr>
        <w:pStyle w:val="PreformattatoHTML"/>
        <w:shd w:val="clear" w:color="auto" w:fill="FFFFFF"/>
        <w:spacing w:after="80" w:line="259" w:lineRule="auto"/>
        <w:jc w:val="both"/>
        <w:rPr>
          <w:rFonts w:ascii="Bookman Old Style" w:hAnsi="Bookman Old Style"/>
          <w:i/>
          <w:iCs/>
          <w:sz w:val="22"/>
          <w:szCs w:val="22"/>
        </w:rPr>
      </w:pPr>
      <w:r w:rsidRPr="003F63DD">
        <w:rPr>
          <w:rFonts w:ascii="Bookman Old Style" w:hAnsi="Bookman Old Style"/>
          <w:i/>
          <w:iCs/>
          <w:sz w:val="22"/>
          <w:szCs w:val="22"/>
        </w:rPr>
        <w:t>Dopo l’art. 110 aggiungere il seguente art. 110</w:t>
      </w:r>
      <w:r w:rsidR="0008676E" w:rsidRPr="003F63DD">
        <w:rPr>
          <w:rFonts w:ascii="Bookman Old Style" w:hAnsi="Bookman Old Style"/>
          <w:i/>
          <w:iCs/>
          <w:sz w:val="22"/>
          <w:szCs w:val="22"/>
        </w:rPr>
        <w:t>-</w:t>
      </w:r>
      <w:r w:rsidRPr="003F63DD">
        <w:rPr>
          <w:rFonts w:ascii="Bookman Old Style" w:hAnsi="Bookman Old Style"/>
          <w:i/>
          <w:iCs/>
          <w:sz w:val="22"/>
          <w:szCs w:val="22"/>
        </w:rPr>
        <w:t>bis</w:t>
      </w:r>
    </w:p>
    <w:p w14:paraId="1025C918" w14:textId="7AC5931F" w:rsidR="0008676E" w:rsidRPr="003F63DD" w:rsidRDefault="0008676E" w:rsidP="0008676E">
      <w:pPr>
        <w:pStyle w:val="PreformattatoHTML"/>
        <w:shd w:val="clear" w:color="auto" w:fill="FFFFFF"/>
        <w:spacing w:after="80" w:line="259" w:lineRule="auto"/>
        <w:jc w:val="center"/>
        <w:rPr>
          <w:rFonts w:ascii="Bookman Old Style" w:hAnsi="Bookman Old Style"/>
          <w:i/>
          <w:iCs/>
          <w:sz w:val="22"/>
          <w:szCs w:val="22"/>
        </w:rPr>
      </w:pPr>
      <w:r w:rsidRPr="003F63DD">
        <w:rPr>
          <w:rFonts w:ascii="Bookman Old Style" w:hAnsi="Bookman Old Style"/>
          <w:i/>
          <w:iCs/>
          <w:sz w:val="22"/>
          <w:szCs w:val="22"/>
        </w:rPr>
        <w:t>Art. 110-bis (Fondo piccoli musei)</w:t>
      </w:r>
    </w:p>
    <w:p w14:paraId="5E9039CC" w14:textId="4230E51C" w:rsidR="008D0643" w:rsidRPr="003F63DD" w:rsidRDefault="00D5430D" w:rsidP="00321948">
      <w:pPr>
        <w:spacing w:after="80"/>
        <w:jc w:val="both"/>
        <w:textAlignment w:val="baseline"/>
        <w:rPr>
          <w:rFonts w:ascii="Bookman Old Style" w:eastAsia="Times New Roman" w:hAnsi="Bookman Old Style" w:cs="Times New Roman"/>
          <w:color w:val="000000"/>
          <w:lang w:eastAsia="it-IT"/>
        </w:rPr>
      </w:pPr>
      <w:r w:rsidRPr="003F63DD">
        <w:rPr>
          <w:rFonts w:ascii="Bookman Old Style" w:eastAsia="Times New Roman" w:hAnsi="Bookman Old Style" w:cs="Times New Roman"/>
          <w:color w:val="000000"/>
          <w:lang w:eastAsia="it-IT"/>
        </w:rPr>
        <w:t>1</w:t>
      </w:r>
      <w:r w:rsidR="008D0643" w:rsidRPr="003F63DD">
        <w:rPr>
          <w:rFonts w:ascii="Bookman Old Style" w:eastAsia="Times New Roman" w:hAnsi="Bookman Old Style" w:cs="Times New Roman"/>
          <w:color w:val="000000"/>
          <w:lang w:eastAsia="it-IT"/>
        </w:rPr>
        <w:t>. Al</w:t>
      </w:r>
      <w:r w:rsidR="00801F19" w:rsidRPr="003F63DD">
        <w:rPr>
          <w:rFonts w:ascii="Bookman Old Style" w:eastAsia="Times New Roman" w:hAnsi="Bookman Old Style" w:cs="Times New Roman"/>
          <w:color w:val="000000"/>
          <w:lang w:eastAsia="it-IT"/>
        </w:rPr>
        <w:t>l’art. 1</w:t>
      </w:r>
      <w:r w:rsidR="00B618CC" w:rsidRPr="003F63DD">
        <w:rPr>
          <w:rFonts w:ascii="Bookman Old Style" w:eastAsia="Times New Roman" w:hAnsi="Bookman Old Style" w:cs="Times New Roman"/>
          <w:color w:val="000000"/>
          <w:lang w:eastAsia="it-IT"/>
        </w:rPr>
        <w:t>,</w:t>
      </w:r>
      <w:r w:rsidR="008D0643" w:rsidRPr="003F63DD">
        <w:rPr>
          <w:rFonts w:ascii="Bookman Old Style" w:eastAsia="Times New Roman" w:hAnsi="Bookman Old Style" w:cs="Times New Roman"/>
          <w:color w:val="000000"/>
          <w:lang w:eastAsia="it-IT"/>
        </w:rPr>
        <w:t xml:space="preserve"> comma 359</w:t>
      </w:r>
      <w:r w:rsidR="00B618CC" w:rsidRPr="003F63DD">
        <w:rPr>
          <w:rFonts w:ascii="Bookman Old Style" w:eastAsia="Times New Roman" w:hAnsi="Bookman Old Style" w:cs="Times New Roman"/>
          <w:color w:val="000000"/>
          <w:lang w:eastAsia="it-IT"/>
        </w:rPr>
        <w:t xml:space="preserve">, </w:t>
      </w:r>
      <w:r w:rsidR="008D0643" w:rsidRPr="003F63DD">
        <w:rPr>
          <w:rFonts w:ascii="Bookman Old Style" w:eastAsia="Times New Roman" w:hAnsi="Bookman Old Style" w:cs="Times New Roman"/>
          <w:color w:val="000000"/>
          <w:lang w:eastAsia="it-IT"/>
        </w:rPr>
        <w:t>della legge 27 dicembre 2019, n. 160,</w:t>
      </w:r>
      <w:r w:rsidR="007C1FE7" w:rsidRPr="003F63DD">
        <w:rPr>
          <w:rFonts w:ascii="Bookman Old Style" w:eastAsia="Times New Roman" w:hAnsi="Bookman Old Style" w:cs="Times New Roman"/>
          <w:color w:val="000000"/>
          <w:lang w:eastAsia="it-IT"/>
        </w:rPr>
        <w:t xml:space="preserve"> </w:t>
      </w:r>
      <w:r w:rsidR="006373F0" w:rsidRPr="003F63DD">
        <w:rPr>
          <w:rFonts w:ascii="Bookman Old Style" w:eastAsia="Times New Roman" w:hAnsi="Bookman Old Style" w:cs="Times New Roman"/>
          <w:color w:val="000000"/>
          <w:lang w:eastAsia="it-IT"/>
        </w:rPr>
        <w:t xml:space="preserve">dopo le </w:t>
      </w:r>
      <w:r w:rsidR="007C1FE7" w:rsidRPr="003F63DD">
        <w:rPr>
          <w:rFonts w:ascii="Bookman Old Style" w:eastAsia="Times New Roman" w:hAnsi="Bookman Old Style" w:cs="Times New Roman"/>
          <w:color w:val="000000"/>
          <w:lang w:eastAsia="it-IT"/>
        </w:rPr>
        <w:t xml:space="preserve">parole </w:t>
      </w:r>
      <w:r w:rsidR="008D0643" w:rsidRPr="003F63DD">
        <w:rPr>
          <w:rFonts w:ascii="Bookman Old Style" w:eastAsia="Times New Roman" w:hAnsi="Bookman Old Style" w:cs="Times New Roman"/>
          <w:color w:val="000000"/>
          <w:lang w:eastAsia="it-IT"/>
        </w:rPr>
        <w:t>“2 milioni di euro annui</w:t>
      </w:r>
      <w:r w:rsidR="006373F0" w:rsidRPr="003F63DD">
        <w:rPr>
          <w:rFonts w:ascii="Bookman Old Style" w:eastAsia="Times New Roman" w:hAnsi="Bookman Old Style" w:cs="Times New Roman"/>
          <w:color w:val="000000"/>
          <w:lang w:eastAsia="it-IT"/>
        </w:rPr>
        <w:t xml:space="preserve">” inserire le parole per </w:t>
      </w:r>
      <w:r w:rsidR="009A13D0" w:rsidRPr="003F63DD">
        <w:rPr>
          <w:rFonts w:ascii="Bookman Old Style" w:eastAsia="Times New Roman" w:hAnsi="Bookman Old Style" w:cs="Times New Roman"/>
          <w:color w:val="000000"/>
          <w:lang w:eastAsia="it-IT"/>
        </w:rPr>
        <w:t>“</w:t>
      </w:r>
      <w:r w:rsidR="006373F0" w:rsidRPr="003F63DD">
        <w:rPr>
          <w:rFonts w:ascii="Bookman Old Style" w:eastAsia="Times New Roman" w:hAnsi="Bookman Old Style" w:cs="Times New Roman"/>
          <w:color w:val="000000"/>
          <w:lang w:eastAsia="it-IT"/>
        </w:rPr>
        <w:t xml:space="preserve">gli anni dal 2020 al </w:t>
      </w:r>
      <w:r w:rsidR="009A13D0" w:rsidRPr="003F63DD">
        <w:rPr>
          <w:rFonts w:ascii="Bookman Old Style" w:eastAsia="Times New Roman" w:hAnsi="Bookman Old Style" w:cs="Times New Roman"/>
          <w:color w:val="000000"/>
          <w:lang w:eastAsia="it-IT"/>
        </w:rPr>
        <w:t xml:space="preserve">2022 e </w:t>
      </w:r>
      <w:r w:rsidR="005E6706" w:rsidRPr="003F63DD">
        <w:rPr>
          <w:rFonts w:ascii="Bookman Old Style" w:eastAsia="Times New Roman" w:hAnsi="Bookman Old Style" w:cs="Times New Roman"/>
          <w:color w:val="000000"/>
          <w:lang w:eastAsia="it-IT"/>
        </w:rPr>
        <w:t>di</w:t>
      </w:r>
      <w:r w:rsidR="00E0071B" w:rsidRPr="003F63DD">
        <w:rPr>
          <w:rFonts w:ascii="Bookman Old Style" w:eastAsia="Times New Roman" w:hAnsi="Bookman Old Style" w:cs="Times New Roman"/>
          <w:color w:val="000000"/>
          <w:lang w:eastAsia="it-IT"/>
        </w:rPr>
        <w:t xml:space="preserve"> </w:t>
      </w:r>
      <w:r w:rsidR="00397AD1">
        <w:rPr>
          <w:rFonts w:ascii="Bookman Old Style" w:eastAsia="Times New Roman" w:hAnsi="Bookman Old Style" w:cs="Times New Roman"/>
          <w:color w:val="000000"/>
          <w:lang w:eastAsia="it-IT"/>
        </w:rPr>
        <w:t>20</w:t>
      </w:r>
      <w:r w:rsidR="008D0643" w:rsidRPr="003F63DD">
        <w:rPr>
          <w:rFonts w:ascii="Bookman Old Style" w:eastAsia="Times New Roman" w:hAnsi="Bookman Old Style" w:cs="Times New Roman"/>
          <w:color w:val="000000"/>
          <w:lang w:eastAsia="it-IT"/>
        </w:rPr>
        <w:t xml:space="preserve"> milioni di euro annui a decorrere dall’anno 2023”.</w:t>
      </w:r>
    </w:p>
    <w:p w14:paraId="5E062179" w14:textId="6F96834E" w:rsidR="008D0643" w:rsidRPr="007A1F9C" w:rsidRDefault="00EF6360" w:rsidP="00321948">
      <w:pPr>
        <w:spacing w:after="80"/>
        <w:jc w:val="both"/>
        <w:textAlignment w:val="baseline"/>
        <w:rPr>
          <w:rFonts w:ascii="Bookman Old Style" w:eastAsia="Times New Roman" w:hAnsi="Bookman Old Style" w:cs="Times New Roman"/>
          <w:color w:val="000000"/>
          <w:lang w:eastAsia="it-IT"/>
        </w:rPr>
      </w:pPr>
      <w:r w:rsidRPr="003F63DD">
        <w:rPr>
          <w:rFonts w:ascii="Bookman Old Style" w:eastAsia="Times New Roman" w:hAnsi="Bookman Old Style" w:cs="Times New Roman"/>
          <w:color w:val="000000"/>
          <w:lang w:eastAsia="it-IT"/>
        </w:rPr>
        <w:t>2</w:t>
      </w:r>
      <w:r w:rsidR="008D0643" w:rsidRPr="003F63DD">
        <w:rPr>
          <w:rFonts w:ascii="Bookman Old Style" w:eastAsia="Times New Roman" w:hAnsi="Bookman Old Style" w:cs="Times New Roman"/>
          <w:color w:val="000000"/>
          <w:lang w:eastAsia="it-IT"/>
        </w:rPr>
        <w:t>. Al</w:t>
      </w:r>
      <w:r w:rsidR="00DF5A2D" w:rsidRPr="003F63DD">
        <w:rPr>
          <w:rFonts w:ascii="Bookman Old Style" w:eastAsia="Times New Roman" w:hAnsi="Bookman Old Style" w:cs="Times New Roman"/>
          <w:color w:val="000000"/>
          <w:lang w:eastAsia="it-IT"/>
        </w:rPr>
        <w:t>l’art. 1, comma 360</w:t>
      </w:r>
      <w:r w:rsidR="007C1FE7" w:rsidRPr="003F63DD">
        <w:rPr>
          <w:rFonts w:ascii="Bookman Old Style" w:eastAsia="Times New Roman" w:hAnsi="Bookman Old Style" w:cs="Times New Roman"/>
          <w:color w:val="000000"/>
          <w:lang w:eastAsia="it-IT"/>
        </w:rPr>
        <w:t>,</w:t>
      </w:r>
      <w:r w:rsidR="008D0643" w:rsidRPr="003F63DD">
        <w:rPr>
          <w:rFonts w:ascii="Bookman Old Style" w:eastAsia="Times New Roman" w:hAnsi="Bookman Old Style" w:cs="Times New Roman"/>
          <w:color w:val="000000"/>
          <w:lang w:eastAsia="it-IT"/>
        </w:rPr>
        <w:t xml:space="preserve"> della legge 27 dicembre 2019, n. 160, dopo l</w:t>
      </w:r>
      <w:r w:rsidR="007C1FE7" w:rsidRPr="003F63DD">
        <w:rPr>
          <w:rFonts w:ascii="Bookman Old Style" w:eastAsia="Times New Roman" w:hAnsi="Bookman Old Style" w:cs="Times New Roman"/>
          <w:color w:val="000000"/>
          <w:lang w:eastAsia="it-IT"/>
        </w:rPr>
        <w:t>e</w:t>
      </w:r>
      <w:r w:rsidR="008D0643" w:rsidRPr="003F63DD">
        <w:rPr>
          <w:rFonts w:ascii="Bookman Old Style" w:eastAsia="Times New Roman" w:hAnsi="Bookman Old Style" w:cs="Times New Roman"/>
          <w:color w:val="000000"/>
          <w:lang w:eastAsia="it-IT"/>
        </w:rPr>
        <w:t xml:space="preserve"> parole “presente legge” aggiungere</w:t>
      </w:r>
      <w:r w:rsidR="007C1FE7" w:rsidRPr="003F63DD">
        <w:rPr>
          <w:rFonts w:ascii="Bookman Old Style" w:eastAsia="Times New Roman" w:hAnsi="Bookman Old Style" w:cs="Times New Roman"/>
          <w:color w:val="000000"/>
          <w:lang w:eastAsia="it-IT"/>
        </w:rPr>
        <w:t xml:space="preserve"> le seguenti parole</w:t>
      </w:r>
      <w:r w:rsidR="007C1FE7" w:rsidRPr="007A1F9C">
        <w:rPr>
          <w:rFonts w:ascii="Bookman Old Style" w:eastAsia="Times New Roman" w:hAnsi="Bookman Old Style" w:cs="Times New Roman"/>
          <w:color w:val="000000"/>
          <w:lang w:eastAsia="it-IT"/>
        </w:rPr>
        <w:t xml:space="preserve"> </w:t>
      </w:r>
      <w:r w:rsidR="008D0643" w:rsidRPr="007A1F9C">
        <w:rPr>
          <w:rFonts w:ascii="Bookman Old Style" w:eastAsia="Times New Roman" w:hAnsi="Bookman Old Style" w:cs="Times New Roman"/>
          <w:color w:val="000000"/>
          <w:lang w:eastAsia="it-IT"/>
        </w:rPr>
        <w:t xml:space="preserve">“previa intesa in sede di Conferenza </w:t>
      </w:r>
      <w:r w:rsidR="007C1FE7" w:rsidRPr="007A1F9C">
        <w:rPr>
          <w:rFonts w:ascii="Bookman Old Style" w:eastAsia="Times New Roman" w:hAnsi="Bookman Old Style" w:cs="Times New Roman"/>
          <w:color w:val="000000"/>
          <w:lang w:eastAsia="it-IT"/>
        </w:rPr>
        <w:t>U</w:t>
      </w:r>
      <w:r w:rsidR="008D0643" w:rsidRPr="007A1F9C">
        <w:rPr>
          <w:rFonts w:ascii="Bookman Old Style" w:eastAsia="Times New Roman" w:hAnsi="Bookman Old Style" w:cs="Times New Roman"/>
          <w:color w:val="000000"/>
          <w:lang w:eastAsia="it-IT"/>
        </w:rPr>
        <w:t>nificata di cui all’articolo 8 del decreto legislativo 28 agosto 1997, n. 281”.</w:t>
      </w:r>
    </w:p>
    <w:p w14:paraId="0731B7E8" w14:textId="77777777" w:rsidR="008D0643" w:rsidRPr="00A20489" w:rsidRDefault="008D0643" w:rsidP="00321948">
      <w:pPr>
        <w:spacing w:after="80"/>
        <w:jc w:val="center"/>
        <w:textAlignment w:val="baseline"/>
        <w:rPr>
          <w:rFonts w:ascii="Bookman Old Style" w:eastAsia="Times New Roman" w:hAnsi="Bookman Old Style" w:cs="Times New Roman"/>
          <w:b/>
          <w:bCs/>
          <w:color w:val="000000"/>
          <w:lang w:eastAsia="it-IT"/>
        </w:rPr>
      </w:pPr>
      <w:r w:rsidRPr="00A20489">
        <w:rPr>
          <w:rFonts w:ascii="Bookman Old Style" w:eastAsia="Times New Roman" w:hAnsi="Bookman Old Style" w:cs="Times New Roman"/>
          <w:b/>
          <w:bCs/>
          <w:color w:val="000000"/>
          <w:lang w:eastAsia="it-IT"/>
        </w:rPr>
        <w:t>Motivazione</w:t>
      </w:r>
    </w:p>
    <w:p w14:paraId="1968E9C5" w14:textId="195784B1" w:rsidR="008D0643" w:rsidRPr="00A20489" w:rsidRDefault="00AF6149" w:rsidP="00321948">
      <w:pPr>
        <w:spacing w:after="80"/>
        <w:jc w:val="both"/>
        <w:textAlignment w:val="baseline"/>
        <w:rPr>
          <w:rFonts w:ascii="Bookman Old Style" w:eastAsia="Times New Roman" w:hAnsi="Bookman Old Style" w:cs="Times New Roman"/>
          <w:i/>
          <w:iCs/>
          <w:color w:val="000000"/>
          <w:lang w:eastAsia="it-IT"/>
        </w:rPr>
      </w:pPr>
      <w:r>
        <w:rPr>
          <w:rFonts w:ascii="Bookman Old Style" w:eastAsia="Times New Roman" w:hAnsi="Bookman Old Style" w:cs="Times New Roman"/>
          <w:i/>
          <w:iCs/>
          <w:color w:val="000000"/>
          <w:lang w:eastAsia="it-IT"/>
        </w:rPr>
        <w:t>Con riferimento alla</w:t>
      </w:r>
      <w:r w:rsidR="008D0643" w:rsidRPr="00A20489">
        <w:rPr>
          <w:rFonts w:ascii="Bookman Old Style" w:eastAsia="Times New Roman" w:hAnsi="Bookman Old Style" w:cs="Times New Roman"/>
          <w:i/>
          <w:iCs/>
          <w:color w:val="000000"/>
          <w:lang w:eastAsia="it-IT"/>
        </w:rPr>
        <w:t xml:space="preserve"> norma istitutiva del Fondo per il funzionamento dei piccoli musei si chiede che il decreto di riparto sia adottato previa intesa in Conferenza Unificata (necessaria in quanto si tratta di materia di competenza legislativa concorrente e i piccoli musei sono in gran parte comunali) e che la dotazione finanziaria sia aumentata a </w:t>
      </w:r>
      <w:r w:rsidR="003F63DD">
        <w:rPr>
          <w:rFonts w:ascii="Bookman Old Style" w:eastAsia="Times New Roman" w:hAnsi="Bookman Old Style" w:cs="Times New Roman"/>
          <w:i/>
          <w:iCs/>
          <w:color w:val="000000"/>
          <w:lang w:eastAsia="it-IT"/>
        </w:rPr>
        <w:t>4</w:t>
      </w:r>
      <w:r w:rsidR="008D0643" w:rsidRPr="00A20489">
        <w:rPr>
          <w:rFonts w:ascii="Bookman Old Style" w:eastAsia="Times New Roman" w:hAnsi="Bookman Old Style" w:cs="Times New Roman"/>
          <w:i/>
          <w:iCs/>
          <w:color w:val="000000"/>
          <w:lang w:eastAsia="it-IT"/>
        </w:rPr>
        <w:t xml:space="preserve"> mln di euro a partire dall’anno 2023.</w:t>
      </w:r>
    </w:p>
    <w:p w14:paraId="47B7CDE8" w14:textId="459EA7FF" w:rsidR="008D0643" w:rsidRPr="00A104E9" w:rsidRDefault="008D064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2" w:name="_Toc121214319"/>
      <w:r w:rsidRPr="00A104E9">
        <w:rPr>
          <w:rFonts w:ascii="Bookman Old Style" w:hAnsi="Bookman Old Style"/>
          <w:b/>
          <w:bCs/>
          <w:color w:val="2F5496" w:themeColor="accent1" w:themeShade="BF"/>
          <w:sz w:val="22"/>
          <w:szCs w:val="22"/>
        </w:rPr>
        <w:t>Aumento della dotazione finanziaria della Legge 13 febbraio 2020, n. 15 Disposizioni per la promozione e il sostegno della lettura</w:t>
      </w:r>
      <w:bookmarkEnd w:id="112"/>
    </w:p>
    <w:p w14:paraId="513125A7" w14:textId="6C939E05" w:rsidR="001562D0" w:rsidRDefault="001562D0" w:rsidP="001562D0">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110 aggiungere il seguente art. 110</w:t>
      </w:r>
      <w:r w:rsidR="00E0071B">
        <w:rPr>
          <w:rFonts w:ascii="Bookman Old Style" w:hAnsi="Bookman Old Style"/>
          <w:i/>
          <w:iCs/>
          <w:sz w:val="22"/>
          <w:szCs w:val="22"/>
        </w:rPr>
        <w:t>-</w:t>
      </w:r>
      <w:r w:rsidRPr="00A20489">
        <w:rPr>
          <w:rFonts w:ascii="Bookman Old Style" w:hAnsi="Bookman Old Style"/>
          <w:i/>
          <w:iCs/>
          <w:sz w:val="22"/>
          <w:szCs w:val="22"/>
        </w:rPr>
        <w:t>bis</w:t>
      </w:r>
    </w:p>
    <w:p w14:paraId="50ECE638" w14:textId="3FD64789" w:rsidR="00E0071B" w:rsidRPr="00A20489" w:rsidRDefault="00E0071B" w:rsidP="00E0071B">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rt. 110</w:t>
      </w:r>
      <w:r>
        <w:rPr>
          <w:rFonts w:ascii="Bookman Old Style" w:hAnsi="Bookman Old Style"/>
          <w:i/>
          <w:iCs/>
          <w:sz w:val="22"/>
          <w:szCs w:val="22"/>
        </w:rPr>
        <w:t>-</w:t>
      </w:r>
      <w:r w:rsidRPr="00A20489">
        <w:rPr>
          <w:rFonts w:ascii="Bookman Old Style" w:hAnsi="Bookman Old Style"/>
          <w:i/>
          <w:iCs/>
          <w:sz w:val="22"/>
          <w:szCs w:val="22"/>
        </w:rPr>
        <w:t>bis</w:t>
      </w:r>
      <w:r>
        <w:rPr>
          <w:rFonts w:ascii="Bookman Old Style" w:hAnsi="Bookman Old Style"/>
          <w:i/>
          <w:iCs/>
          <w:sz w:val="22"/>
          <w:szCs w:val="22"/>
        </w:rPr>
        <w:t xml:space="preserve"> (Fondo per il sostegno alla lettura)</w:t>
      </w:r>
    </w:p>
    <w:p w14:paraId="7111B8F8" w14:textId="73D317AD" w:rsidR="008D0643" w:rsidRPr="00E0071B" w:rsidRDefault="00E0071B" w:rsidP="00321948">
      <w:pPr>
        <w:spacing w:after="80"/>
        <w:jc w:val="both"/>
        <w:textAlignment w:val="baseline"/>
        <w:rPr>
          <w:rFonts w:ascii="Bookman Old Style" w:eastAsia="Times New Roman" w:hAnsi="Bookman Old Style" w:cs="Times New Roman"/>
          <w:color w:val="000000"/>
          <w:lang w:eastAsia="it-IT"/>
        </w:rPr>
      </w:pPr>
      <w:r w:rsidRPr="00E0071B">
        <w:rPr>
          <w:rFonts w:ascii="Bookman Old Style" w:eastAsia="Times New Roman" w:hAnsi="Bookman Old Style" w:cs="Times New Roman"/>
          <w:color w:val="000000"/>
          <w:lang w:eastAsia="it-IT"/>
        </w:rPr>
        <w:t xml:space="preserve">1. </w:t>
      </w:r>
      <w:r w:rsidR="00610199" w:rsidRPr="00E0071B">
        <w:rPr>
          <w:rFonts w:ascii="Bookman Old Style" w:eastAsia="Times New Roman" w:hAnsi="Bookman Old Style" w:cs="Times New Roman"/>
          <w:color w:val="000000"/>
          <w:lang w:eastAsia="it-IT"/>
        </w:rPr>
        <w:t>All’art. 2, comma 6 della</w:t>
      </w:r>
      <w:r w:rsidR="008D0643" w:rsidRPr="00E0071B">
        <w:rPr>
          <w:rFonts w:ascii="Bookman Old Style" w:eastAsia="Times New Roman" w:hAnsi="Bookman Old Style" w:cs="Times New Roman"/>
          <w:color w:val="000000"/>
          <w:lang w:eastAsia="it-IT"/>
        </w:rPr>
        <w:t xml:space="preserve"> </w:t>
      </w:r>
      <w:r>
        <w:rPr>
          <w:rFonts w:ascii="Bookman Old Style" w:eastAsia="Times New Roman" w:hAnsi="Bookman Old Style" w:cs="Times New Roman"/>
          <w:color w:val="000000"/>
          <w:lang w:eastAsia="it-IT"/>
        </w:rPr>
        <w:t>l</w:t>
      </w:r>
      <w:r w:rsidR="008D0643" w:rsidRPr="00E0071B">
        <w:rPr>
          <w:rFonts w:ascii="Bookman Old Style" w:eastAsia="Times New Roman" w:hAnsi="Bookman Old Style" w:cs="Times New Roman"/>
          <w:color w:val="000000"/>
          <w:lang w:eastAsia="it-IT"/>
        </w:rPr>
        <w:t xml:space="preserve">egge 13 febbraio 2020, n. 15, </w:t>
      </w:r>
      <w:r w:rsidR="003B4E6E" w:rsidRPr="00E0071B">
        <w:rPr>
          <w:rFonts w:ascii="Bookman Old Style" w:eastAsia="Times New Roman" w:hAnsi="Bookman Old Style" w:cs="Times New Roman"/>
          <w:color w:val="000000"/>
          <w:lang w:eastAsia="it-IT"/>
        </w:rPr>
        <w:t>dopo</w:t>
      </w:r>
      <w:r w:rsidR="008D0643" w:rsidRPr="00E0071B">
        <w:rPr>
          <w:rFonts w:ascii="Bookman Old Style" w:eastAsia="Times New Roman" w:hAnsi="Bookman Old Style" w:cs="Times New Roman"/>
          <w:color w:val="000000"/>
          <w:lang w:eastAsia="it-IT"/>
        </w:rPr>
        <w:t xml:space="preserve"> </w:t>
      </w:r>
      <w:r w:rsidR="00607469" w:rsidRPr="00E0071B">
        <w:rPr>
          <w:rFonts w:ascii="Bookman Old Style" w:eastAsia="Times New Roman" w:hAnsi="Bookman Old Style" w:cs="Times New Roman"/>
          <w:color w:val="000000"/>
          <w:lang w:eastAsia="it-IT"/>
        </w:rPr>
        <w:t xml:space="preserve">le parole </w:t>
      </w:r>
      <w:r w:rsidR="008D0643" w:rsidRPr="00E0071B">
        <w:rPr>
          <w:rFonts w:ascii="Bookman Old Style" w:eastAsia="Times New Roman" w:hAnsi="Bookman Old Style" w:cs="Times New Roman"/>
          <w:color w:val="000000"/>
          <w:lang w:eastAsia="it-IT"/>
        </w:rPr>
        <w:t>“una dotazione di 4.350.000 euro annui</w:t>
      </w:r>
      <w:r w:rsidR="00AE0807">
        <w:rPr>
          <w:rFonts w:ascii="Bookman Old Style" w:eastAsia="Times New Roman" w:hAnsi="Bookman Old Style" w:cs="Times New Roman"/>
          <w:color w:val="000000"/>
          <w:lang w:eastAsia="it-IT"/>
        </w:rPr>
        <w:t>”</w:t>
      </w:r>
      <w:r w:rsidR="00141AD6">
        <w:rPr>
          <w:rFonts w:ascii="Bookman Old Style" w:eastAsia="Times New Roman" w:hAnsi="Bookman Old Style" w:cs="Times New Roman"/>
          <w:color w:val="000000"/>
          <w:lang w:eastAsia="it-IT"/>
        </w:rPr>
        <w:t xml:space="preserve">, inserire </w:t>
      </w:r>
      <w:r w:rsidR="00607469" w:rsidRPr="00E0071B">
        <w:rPr>
          <w:rFonts w:ascii="Bookman Old Style" w:eastAsia="Times New Roman" w:hAnsi="Bookman Old Style" w:cs="Times New Roman"/>
          <w:color w:val="000000"/>
          <w:lang w:eastAsia="it-IT"/>
        </w:rPr>
        <w:t>le seguenti parole</w:t>
      </w:r>
      <w:r w:rsidR="008D0643" w:rsidRPr="00E0071B">
        <w:rPr>
          <w:rFonts w:ascii="Bookman Old Style" w:eastAsia="Times New Roman" w:hAnsi="Bookman Old Style" w:cs="Times New Roman"/>
          <w:color w:val="000000"/>
          <w:lang w:eastAsia="it-IT"/>
        </w:rPr>
        <w:t xml:space="preserve"> “</w:t>
      </w:r>
      <w:r w:rsidR="00141AD6">
        <w:rPr>
          <w:rFonts w:ascii="Bookman Old Style" w:eastAsia="Times New Roman" w:hAnsi="Bookman Old Style" w:cs="Times New Roman"/>
          <w:color w:val="000000"/>
          <w:lang w:eastAsia="it-IT"/>
        </w:rPr>
        <w:t xml:space="preserve">per gli anni dal </w:t>
      </w:r>
      <w:r w:rsidR="00AE0807">
        <w:rPr>
          <w:rFonts w:ascii="Bookman Old Style" w:eastAsia="Times New Roman" w:hAnsi="Bookman Old Style" w:cs="Times New Roman"/>
          <w:color w:val="000000"/>
          <w:lang w:eastAsia="it-IT"/>
        </w:rPr>
        <w:t xml:space="preserve">2020 al 2022 </w:t>
      </w:r>
      <w:r w:rsidR="003B4E6E" w:rsidRPr="00E0071B">
        <w:rPr>
          <w:rFonts w:ascii="Bookman Old Style" w:eastAsia="Times New Roman" w:hAnsi="Bookman Old Style" w:cs="Times New Roman"/>
          <w:color w:val="000000"/>
          <w:lang w:eastAsia="it-IT"/>
        </w:rPr>
        <w:t xml:space="preserve">e </w:t>
      </w:r>
      <w:r w:rsidR="008D0643" w:rsidRPr="00E0071B">
        <w:rPr>
          <w:rFonts w:ascii="Bookman Old Style" w:eastAsia="Times New Roman" w:hAnsi="Bookman Old Style" w:cs="Times New Roman"/>
          <w:color w:val="000000"/>
          <w:lang w:eastAsia="it-IT"/>
        </w:rPr>
        <w:t>di 20.000.000 euro annui a decorrere dall’anno 2023”</w:t>
      </w:r>
    </w:p>
    <w:p w14:paraId="0EE7F678" w14:textId="77777777" w:rsidR="008D0643" w:rsidRPr="00A20489" w:rsidRDefault="008D0643" w:rsidP="00321948">
      <w:pPr>
        <w:spacing w:after="80"/>
        <w:jc w:val="center"/>
        <w:textAlignment w:val="baseline"/>
        <w:rPr>
          <w:rFonts w:ascii="Bookman Old Style" w:eastAsia="Times New Roman" w:hAnsi="Bookman Old Style" w:cs="Times New Roman"/>
          <w:b/>
          <w:bCs/>
          <w:color w:val="000000"/>
          <w:lang w:eastAsia="it-IT"/>
        </w:rPr>
      </w:pPr>
      <w:r w:rsidRPr="00A20489">
        <w:rPr>
          <w:rFonts w:ascii="Bookman Old Style" w:eastAsia="Times New Roman" w:hAnsi="Bookman Old Style" w:cs="Times New Roman"/>
          <w:b/>
          <w:bCs/>
          <w:color w:val="000000"/>
          <w:lang w:eastAsia="it-IT"/>
        </w:rPr>
        <w:t>Motivazione</w:t>
      </w:r>
    </w:p>
    <w:p w14:paraId="73E721AC" w14:textId="77777777" w:rsidR="008D0643" w:rsidRPr="00A20489" w:rsidRDefault="008D0643" w:rsidP="00321948">
      <w:pPr>
        <w:spacing w:after="80"/>
        <w:jc w:val="both"/>
        <w:textAlignment w:val="baseline"/>
        <w:rPr>
          <w:rFonts w:ascii="Bookman Old Style" w:eastAsia="Times New Roman" w:hAnsi="Bookman Old Style" w:cs="Times New Roman"/>
          <w:i/>
          <w:iCs/>
          <w:color w:val="000000"/>
          <w:lang w:eastAsia="it-IT"/>
        </w:rPr>
      </w:pPr>
      <w:r w:rsidRPr="00A20489">
        <w:rPr>
          <w:rFonts w:ascii="Bookman Old Style" w:eastAsia="Times New Roman" w:hAnsi="Bookman Old Style" w:cs="Times New Roman"/>
          <w:i/>
          <w:iCs/>
          <w:color w:val="000000"/>
          <w:lang w:eastAsia="it-IT"/>
        </w:rPr>
        <w:t>Nella Legge per la promozione e il sostegno alla lettura si propone di incrementare le risorse a disposizione del Piano Nazionale d’azione per la promozione della lettura a 20 mln di euro l’anno. L’attuale dotazione finanziaria (4.350.000 euro annui) appare infatti del tutto insufficiente a raggiungere gli ambiziosi obiettivi del provvedimento, che incide su un ambito di grande importanza dal punto di vista culturale, sociale ed economico.</w:t>
      </w:r>
    </w:p>
    <w:p w14:paraId="0503B9A6" w14:textId="77777777" w:rsidR="008D0643" w:rsidRPr="00A20489" w:rsidRDefault="008D0643" w:rsidP="00321948">
      <w:pPr>
        <w:spacing w:after="80"/>
        <w:jc w:val="both"/>
        <w:textAlignment w:val="baseline"/>
        <w:rPr>
          <w:rFonts w:ascii="Bookman Old Style" w:eastAsia="Times New Roman" w:hAnsi="Bookman Old Style" w:cs="Times New Roman"/>
          <w:i/>
          <w:iCs/>
          <w:color w:val="000000"/>
          <w:lang w:eastAsia="it-IT"/>
        </w:rPr>
      </w:pPr>
    </w:p>
    <w:p w14:paraId="3E21C8D3" w14:textId="08C4ADA3" w:rsidR="00B32681" w:rsidRPr="00A20489" w:rsidRDefault="00B32681">
      <w:pPr>
        <w:rPr>
          <w:rFonts w:ascii="Bookman Old Style" w:eastAsiaTheme="majorEastAsia" w:hAnsi="Bookman Old Style" w:cstheme="majorBidi"/>
          <w:b/>
          <w:bCs/>
          <w:color w:val="2F5496" w:themeColor="accent1" w:themeShade="BF"/>
        </w:rPr>
      </w:pPr>
    </w:p>
    <w:p w14:paraId="153E7625" w14:textId="3EEA2D7A" w:rsidR="008D0643" w:rsidRPr="00A104E9" w:rsidRDefault="008D064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3" w:name="_Toc121214320"/>
      <w:r w:rsidRPr="00A104E9">
        <w:rPr>
          <w:rFonts w:ascii="Bookman Old Style" w:hAnsi="Bookman Old Style"/>
          <w:b/>
          <w:bCs/>
          <w:color w:val="2F5496" w:themeColor="accent1" w:themeShade="BF"/>
          <w:sz w:val="22"/>
          <w:szCs w:val="22"/>
        </w:rPr>
        <w:t>Aumento della dotazione del Fondo a favore delle biblioteche e modifica delle modalità di funzionamento</w:t>
      </w:r>
      <w:bookmarkEnd w:id="113"/>
    </w:p>
    <w:p w14:paraId="7CC0F364" w14:textId="54D0AC1A" w:rsidR="005007B9" w:rsidRPr="00A20489" w:rsidRDefault="005007B9" w:rsidP="005007B9">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110 aggiungere il seguente art. 110</w:t>
      </w:r>
      <w:r w:rsidR="00EB45D9">
        <w:rPr>
          <w:rFonts w:ascii="Bookman Old Style" w:hAnsi="Bookman Old Style"/>
          <w:i/>
          <w:iCs/>
          <w:sz w:val="22"/>
          <w:szCs w:val="22"/>
        </w:rPr>
        <w:t>-</w:t>
      </w:r>
      <w:r w:rsidRPr="00A20489">
        <w:rPr>
          <w:rFonts w:ascii="Bookman Old Style" w:hAnsi="Bookman Old Style"/>
          <w:i/>
          <w:iCs/>
          <w:sz w:val="22"/>
          <w:szCs w:val="22"/>
        </w:rPr>
        <w:t>bis</w:t>
      </w:r>
    </w:p>
    <w:p w14:paraId="4F6B8C39" w14:textId="40F453FD" w:rsidR="005007B9" w:rsidRPr="00A20489" w:rsidRDefault="005007B9" w:rsidP="005007B9">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rt. 110</w:t>
      </w:r>
      <w:r w:rsidR="00EB45D9">
        <w:rPr>
          <w:rFonts w:ascii="Bookman Old Style" w:hAnsi="Bookman Old Style"/>
          <w:i/>
          <w:iCs/>
          <w:sz w:val="22"/>
          <w:szCs w:val="22"/>
        </w:rPr>
        <w:t>-</w:t>
      </w:r>
      <w:r w:rsidRPr="00A20489">
        <w:rPr>
          <w:rFonts w:ascii="Bookman Old Style" w:hAnsi="Bookman Old Style"/>
          <w:i/>
          <w:iCs/>
          <w:sz w:val="22"/>
          <w:szCs w:val="22"/>
        </w:rPr>
        <w:t>bis</w:t>
      </w:r>
      <w:r>
        <w:rPr>
          <w:rFonts w:ascii="Bookman Old Style" w:hAnsi="Bookman Old Style"/>
          <w:i/>
          <w:iCs/>
          <w:sz w:val="22"/>
          <w:szCs w:val="22"/>
        </w:rPr>
        <w:t xml:space="preserve"> (Fondo biblioteche)</w:t>
      </w:r>
    </w:p>
    <w:p w14:paraId="2582C74E" w14:textId="274540B2" w:rsidR="008D0643" w:rsidRPr="00A20489" w:rsidRDefault="000616A9" w:rsidP="00321948">
      <w:pPr>
        <w:spacing w:after="80"/>
        <w:jc w:val="both"/>
        <w:textAlignment w:val="baseline"/>
        <w:rPr>
          <w:rFonts w:ascii="Bookman Old Style" w:eastAsia="Times New Roman" w:hAnsi="Bookman Old Style" w:cs="Times New Roman"/>
          <w:color w:val="000000"/>
          <w:lang w:eastAsia="it-IT"/>
        </w:rPr>
      </w:pPr>
      <w:r w:rsidRPr="00A20489">
        <w:rPr>
          <w:rFonts w:ascii="Bookman Old Style" w:eastAsia="Times New Roman" w:hAnsi="Bookman Old Style" w:cs="Times New Roman"/>
          <w:color w:val="000000"/>
          <w:lang w:eastAsia="it-IT"/>
        </w:rPr>
        <w:t>1</w:t>
      </w:r>
      <w:r w:rsidR="008D0643" w:rsidRPr="00A20489">
        <w:rPr>
          <w:rFonts w:ascii="Bookman Old Style" w:eastAsia="Times New Roman" w:hAnsi="Bookman Old Style" w:cs="Times New Roman"/>
          <w:color w:val="000000"/>
          <w:lang w:eastAsia="it-IT"/>
        </w:rPr>
        <w:t>. A partire dall'anno 2023, l'ammontare del Fondo previsto dal</w:t>
      </w:r>
      <w:r w:rsidR="00FC21E6" w:rsidRPr="00A20489">
        <w:rPr>
          <w:rFonts w:ascii="Bookman Old Style" w:eastAsia="Times New Roman" w:hAnsi="Bookman Old Style" w:cs="Times New Roman"/>
          <w:color w:val="000000"/>
          <w:lang w:eastAsia="it-IT"/>
        </w:rPr>
        <w:t>l’art. 22, comma</w:t>
      </w:r>
      <w:r w:rsidR="008D0643" w:rsidRPr="00A20489">
        <w:rPr>
          <w:rFonts w:ascii="Bookman Old Style" w:eastAsia="Times New Roman" w:hAnsi="Bookman Old Style" w:cs="Times New Roman"/>
          <w:color w:val="000000"/>
          <w:lang w:eastAsia="it-IT"/>
        </w:rPr>
        <w:t xml:space="preserve"> 7-quater del</w:t>
      </w:r>
      <w:r w:rsidR="00183957" w:rsidRPr="00A20489">
        <w:rPr>
          <w:rFonts w:ascii="Bookman Old Style" w:eastAsia="Times New Roman" w:hAnsi="Bookman Old Style" w:cs="Times New Roman"/>
          <w:color w:val="000000"/>
          <w:lang w:eastAsia="it-IT"/>
        </w:rPr>
        <w:t xml:space="preserve"> decreto legge </w:t>
      </w:r>
      <w:r w:rsidR="008B1A56" w:rsidRPr="00A20489">
        <w:rPr>
          <w:rFonts w:ascii="Bookman Old Style" w:eastAsia="Times New Roman" w:hAnsi="Bookman Old Style" w:cs="Times New Roman"/>
          <w:color w:val="000000"/>
          <w:lang w:eastAsia="it-IT"/>
        </w:rPr>
        <w:t>24 aprile 2017 n. 50 come convertito dalla legge</w:t>
      </w:r>
      <w:r w:rsidR="008D0643" w:rsidRPr="00A20489">
        <w:rPr>
          <w:rFonts w:ascii="Bookman Old Style" w:eastAsia="Times New Roman" w:hAnsi="Bookman Old Style" w:cs="Times New Roman"/>
          <w:color w:val="000000"/>
          <w:lang w:eastAsia="it-IT"/>
        </w:rPr>
        <w:t xml:space="preserve"> 21 giugno 2017, n. 96 è aumentato a 20</w:t>
      </w:r>
      <w:r w:rsidR="005007B9">
        <w:rPr>
          <w:rFonts w:ascii="Bookman Old Style" w:eastAsia="Times New Roman" w:hAnsi="Bookman Old Style" w:cs="Times New Roman"/>
          <w:color w:val="000000"/>
          <w:lang w:eastAsia="it-IT"/>
        </w:rPr>
        <w:t xml:space="preserve"> milioni </w:t>
      </w:r>
      <w:r w:rsidR="008D0643" w:rsidRPr="00A20489">
        <w:rPr>
          <w:rFonts w:ascii="Bookman Old Style" w:eastAsia="Times New Roman" w:hAnsi="Bookman Old Style" w:cs="Times New Roman"/>
          <w:color w:val="000000"/>
          <w:lang w:eastAsia="it-IT"/>
        </w:rPr>
        <w:t xml:space="preserve">di euro annui. </w:t>
      </w:r>
    </w:p>
    <w:p w14:paraId="0D081F95" w14:textId="437F564A" w:rsidR="008D0643" w:rsidRPr="00A20489" w:rsidRDefault="00EC0A71" w:rsidP="00321948">
      <w:pPr>
        <w:spacing w:after="80"/>
        <w:jc w:val="both"/>
        <w:textAlignment w:val="baseline"/>
        <w:rPr>
          <w:rFonts w:ascii="Bookman Old Style" w:eastAsia="Times New Roman" w:hAnsi="Bookman Old Style" w:cs="Times New Roman"/>
          <w:color w:val="000000"/>
          <w:lang w:eastAsia="it-IT"/>
        </w:rPr>
      </w:pPr>
      <w:r w:rsidRPr="00A20489">
        <w:rPr>
          <w:rFonts w:ascii="Bookman Old Style" w:eastAsia="Times New Roman" w:hAnsi="Bookman Old Style" w:cs="Times New Roman"/>
          <w:color w:val="000000"/>
          <w:lang w:eastAsia="it-IT"/>
        </w:rPr>
        <w:t>2</w:t>
      </w:r>
      <w:r w:rsidR="008D0643" w:rsidRPr="00A20489">
        <w:rPr>
          <w:rFonts w:ascii="Bookman Old Style" w:eastAsia="Times New Roman" w:hAnsi="Bookman Old Style" w:cs="Times New Roman"/>
          <w:color w:val="000000"/>
          <w:lang w:eastAsia="it-IT"/>
        </w:rPr>
        <w:t>. All</w:t>
      </w:r>
      <w:r w:rsidR="009414C9" w:rsidRPr="00A20489">
        <w:rPr>
          <w:rFonts w:ascii="Bookman Old Style" w:eastAsia="Times New Roman" w:hAnsi="Bookman Old Style" w:cs="Times New Roman"/>
          <w:color w:val="000000"/>
          <w:lang w:eastAsia="it-IT"/>
        </w:rPr>
        <w:t>’art. 22,</w:t>
      </w:r>
      <w:r w:rsidR="008D0643" w:rsidRPr="00A20489">
        <w:rPr>
          <w:rFonts w:ascii="Bookman Old Style" w:eastAsia="Times New Roman" w:hAnsi="Bookman Old Style" w:cs="Times New Roman"/>
          <w:color w:val="000000"/>
          <w:lang w:eastAsia="it-IT"/>
        </w:rPr>
        <w:t xml:space="preserve"> comma</w:t>
      </w:r>
      <w:r w:rsidR="00974FEE" w:rsidRPr="00A20489">
        <w:rPr>
          <w:rFonts w:ascii="Bookman Old Style" w:eastAsia="Times New Roman" w:hAnsi="Bookman Old Style" w:cs="Times New Roman"/>
          <w:color w:val="000000"/>
          <w:lang w:eastAsia="it-IT"/>
        </w:rPr>
        <w:t xml:space="preserve"> 7 quater</w:t>
      </w:r>
      <w:r w:rsidR="008D0643" w:rsidRPr="00A20489">
        <w:rPr>
          <w:rFonts w:ascii="Bookman Old Style" w:eastAsia="Times New Roman" w:hAnsi="Bookman Old Style" w:cs="Times New Roman"/>
          <w:color w:val="000000"/>
          <w:lang w:eastAsia="it-IT"/>
        </w:rPr>
        <w:t xml:space="preserve">, nel primo capoverso, sostituire </w:t>
      </w:r>
      <w:r w:rsidR="00B725EA" w:rsidRPr="00A20489">
        <w:rPr>
          <w:rFonts w:ascii="Bookman Old Style" w:eastAsia="Times New Roman" w:hAnsi="Bookman Old Style" w:cs="Times New Roman"/>
          <w:color w:val="000000"/>
          <w:lang w:eastAsia="it-IT"/>
        </w:rPr>
        <w:t xml:space="preserve">le parole </w:t>
      </w:r>
      <w:r w:rsidR="008D0643" w:rsidRPr="00A20489">
        <w:rPr>
          <w:rFonts w:ascii="Bookman Old Style" w:eastAsia="Times New Roman" w:hAnsi="Bookman Old Style" w:cs="Times New Roman"/>
          <w:lang w:eastAsia="it-IT"/>
        </w:rPr>
        <w:t>“</w:t>
      </w:r>
      <w:r w:rsidR="00A30491" w:rsidRPr="00A20489">
        <w:rPr>
          <w:rFonts w:ascii="Bookman Old Style" w:hAnsi="Bookman Old Style"/>
          <w:shd w:val="clear" w:color="auto" w:fill="FFFFFF"/>
        </w:rPr>
        <w:t>destinato alla promozione della lettura, alla tutela e alla valorizzazione del patrimonio librario, alla riorganizzazione e all'incremento dell'efficienza dei sistemi bibliotecari</w:t>
      </w:r>
      <w:r w:rsidR="008D0643" w:rsidRPr="00A20489">
        <w:rPr>
          <w:rFonts w:ascii="Bookman Old Style" w:eastAsia="Times New Roman" w:hAnsi="Bookman Old Style" w:cs="Times New Roman"/>
          <w:color w:val="000000"/>
          <w:lang w:eastAsia="it-IT"/>
        </w:rPr>
        <w:t>”, con</w:t>
      </w:r>
      <w:r w:rsidR="00A16180" w:rsidRPr="00A20489">
        <w:rPr>
          <w:rFonts w:ascii="Bookman Old Style" w:eastAsia="Times New Roman" w:hAnsi="Bookman Old Style" w:cs="Times New Roman"/>
          <w:color w:val="000000"/>
          <w:lang w:eastAsia="it-IT"/>
        </w:rPr>
        <w:t xml:space="preserve"> le seguenti parole </w:t>
      </w:r>
      <w:r w:rsidR="008D0643" w:rsidRPr="00A20489">
        <w:rPr>
          <w:rFonts w:ascii="Bookman Old Style" w:eastAsia="Times New Roman" w:hAnsi="Bookman Old Style" w:cs="Times New Roman"/>
          <w:color w:val="000000"/>
          <w:lang w:eastAsia="it-IT"/>
        </w:rPr>
        <w:t>“destinato al sostegno dei Sistemi bibliotecari, alla transizione digitale delle biblioteche e alla tutela e alla valorizzazione del patrimonio librario. In particolare</w:t>
      </w:r>
      <w:r w:rsidR="00FF5DD7">
        <w:rPr>
          <w:rFonts w:ascii="Bookman Old Style" w:eastAsia="Times New Roman" w:hAnsi="Bookman Old Style" w:cs="Times New Roman"/>
          <w:color w:val="000000"/>
          <w:lang w:eastAsia="it-IT"/>
        </w:rPr>
        <w:t>,</w:t>
      </w:r>
      <w:r w:rsidR="008D0643" w:rsidRPr="00A20489">
        <w:rPr>
          <w:rFonts w:ascii="Bookman Old Style" w:eastAsia="Times New Roman" w:hAnsi="Bookman Old Style" w:cs="Times New Roman"/>
          <w:color w:val="000000"/>
          <w:lang w:eastAsia="it-IT"/>
        </w:rPr>
        <w:t xml:space="preserve"> sono finanziati progetti sostenibili nel tempo che riguardano:</w:t>
      </w:r>
    </w:p>
    <w:p w14:paraId="0BB03D92" w14:textId="77777777" w:rsidR="008D0643" w:rsidRPr="00A20489" w:rsidRDefault="008D0643" w:rsidP="00321948">
      <w:pPr>
        <w:spacing w:after="80"/>
        <w:jc w:val="both"/>
        <w:textAlignment w:val="baseline"/>
        <w:rPr>
          <w:rFonts w:ascii="Bookman Old Style" w:eastAsia="Times New Roman" w:hAnsi="Bookman Old Style" w:cs="Times New Roman"/>
          <w:color w:val="000000"/>
          <w:lang w:eastAsia="it-IT"/>
        </w:rPr>
      </w:pPr>
      <w:r w:rsidRPr="00A20489">
        <w:rPr>
          <w:rFonts w:ascii="Bookman Old Style" w:eastAsia="Times New Roman" w:hAnsi="Bookman Old Style" w:cs="Times New Roman"/>
          <w:color w:val="000000"/>
          <w:lang w:eastAsia="it-IT"/>
        </w:rPr>
        <w:t>a)</w:t>
      </w:r>
      <w:r w:rsidRPr="00A20489">
        <w:rPr>
          <w:rFonts w:ascii="Bookman Old Style" w:eastAsia="Times New Roman" w:hAnsi="Bookman Old Style" w:cs="Times New Roman"/>
          <w:color w:val="000000"/>
          <w:lang w:eastAsia="it-IT"/>
        </w:rPr>
        <w:tab/>
        <w:t>il superamento del digital divide e lo sviluppo delle pari opportunità nella società digitale;</w:t>
      </w:r>
    </w:p>
    <w:p w14:paraId="0336C47D" w14:textId="77777777" w:rsidR="008D0643" w:rsidRPr="00A20489" w:rsidRDefault="008D0643" w:rsidP="00321948">
      <w:pPr>
        <w:spacing w:after="80"/>
        <w:jc w:val="both"/>
        <w:textAlignment w:val="baseline"/>
        <w:rPr>
          <w:rFonts w:ascii="Bookman Old Style" w:eastAsia="Times New Roman" w:hAnsi="Bookman Old Style" w:cs="Times New Roman"/>
          <w:color w:val="000000"/>
          <w:lang w:eastAsia="it-IT"/>
        </w:rPr>
      </w:pPr>
      <w:r w:rsidRPr="00A20489">
        <w:rPr>
          <w:rFonts w:ascii="Bookman Old Style" w:eastAsia="Times New Roman" w:hAnsi="Bookman Old Style" w:cs="Times New Roman"/>
          <w:color w:val="000000"/>
          <w:lang w:eastAsia="it-IT"/>
        </w:rPr>
        <w:t>b)</w:t>
      </w:r>
      <w:r w:rsidRPr="00A20489">
        <w:rPr>
          <w:rFonts w:ascii="Bookman Old Style" w:eastAsia="Times New Roman" w:hAnsi="Bookman Old Style" w:cs="Times New Roman"/>
          <w:color w:val="000000"/>
          <w:lang w:eastAsia="it-IT"/>
        </w:rPr>
        <w:tab/>
        <w:t>la cooperazione bibliotecaria per la diffusione di buone pratiche, anche in grado di aiutare il superamento degli squilibri territoriali rispetto allo sviluppo delle biblioteche;</w:t>
      </w:r>
    </w:p>
    <w:p w14:paraId="2368001E" w14:textId="77777777" w:rsidR="009414C9" w:rsidRPr="00A20489" w:rsidRDefault="008D0643" w:rsidP="00321948">
      <w:pPr>
        <w:spacing w:after="80"/>
        <w:jc w:val="both"/>
        <w:textAlignment w:val="baseline"/>
        <w:rPr>
          <w:rFonts w:ascii="Bookman Old Style" w:eastAsia="Times New Roman" w:hAnsi="Bookman Old Style" w:cs="Times New Roman"/>
          <w:color w:val="000000"/>
          <w:lang w:eastAsia="it-IT"/>
        </w:rPr>
      </w:pPr>
      <w:r w:rsidRPr="00A20489">
        <w:rPr>
          <w:rFonts w:ascii="Bookman Old Style" w:eastAsia="Times New Roman" w:hAnsi="Bookman Old Style" w:cs="Times New Roman"/>
          <w:color w:val="000000"/>
          <w:lang w:eastAsia="it-IT"/>
        </w:rPr>
        <w:t>c)</w:t>
      </w:r>
      <w:r w:rsidRPr="00A20489">
        <w:rPr>
          <w:rFonts w:ascii="Bookman Old Style" w:eastAsia="Times New Roman" w:hAnsi="Bookman Old Style" w:cs="Times New Roman"/>
          <w:color w:val="000000"/>
          <w:lang w:eastAsia="it-IT"/>
        </w:rPr>
        <w:tab/>
        <w:t>l'integrazione delle reti bibliotecarie con soggetti appartenenti al mondo della scuola, al mondo della cultura, al terzo settore.”</w:t>
      </w:r>
    </w:p>
    <w:p w14:paraId="4ECA4559" w14:textId="071E2848" w:rsidR="008D0643" w:rsidRPr="00A20489" w:rsidRDefault="00A73F1F" w:rsidP="00321948">
      <w:pPr>
        <w:spacing w:after="80"/>
        <w:jc w:val="both"/>
        <w:textAlignment w:val="baseline"/>
        <w:rPr>
          <w:rFonts w:ascii="Bookman Old Style" w:eastAsia="Times New Roman" w:hAnsi="Bookman Old Style" w:cs="Times New Roman"/>
          <w:color w:val="000000"/>
          <w:lang w:eastAsia="it-IT"/>
        </w:rPr>
      </w:pPr>
      <w:r w:rsidRPr="00A20489">
        <w:rPr>
          <w:rFonts w:ascii="Bookman Old Style" w:eastAsia="Times New Roman" w:hAnsi="Bookman Old Style" w:cs="Times New Roman"/>
          <w:color w:val="000000"/>
          <w:lang w:eastAsia="it-IT"/>
        </w:rPr>
        <w:t>3.</w:t>
      </w:r>
      <w:r w:rsidR="00453D05" w:rsidRPr="00A20489">
        <w:rPr>
          <w:rFonts w:ascii="Bookman Old Style" w:eastAsia="Times New Roman" w:hAnsi="Bookman Old Style" w:cs="Times New Roman"/>
          <w:color w:val="000000"/>
          <w:lang w:eastAsia="it-IT"/>
        </w:rPr>
        <w:t xml:space="preserve"> </w:t>
      </w:r>
      <w:r w:rsidRPr="00A20489">
        <w:rPr>
          <w:rFonts w:ascii="Bookman Old Style" w:eastAsia="Times New Roman" w:hAnsi="Bookman Old Style" w:cs="Times New Roman"/>
          <w:color w:val="000000"/>
          <w:lang w:eastAsia="it-IT"/>
        </w:rPr>
        <w:t>All’art. 22, comma 7 quater, nel secondo capoverso</w:t>
      </w:r>
      <w:r w:rsidR="00505315" w:rsidRPr="00A20489">
        <w:rPr>
          <w:rFonts w:ascii="Bookman Old Style" w:eastAsia="Times New Roman" w:hAnsi="Bookman Old Style" w:cs="Times New Roman"/>
          <w:color w:val="000000"/>
          <w:lang w:eastAsia="it-IT"/>
        </w:rPr>
        <w:t>,</w:t>
      </w:r>
      <w:r w:rsidR="005B68E4" w:rsidRPr="00A20489">
        <w:rPr>
          <w:rFonts w:ascii="Bookman Old Style" w:eastAsia="Times New Roman" w:hAnsi="Bookman Old Style" w:cs="Times New Roman"/>
          <w:color w:val="000000"/>
          <w:lang w:eastAsia="it-IT"/>
        </w:rPr>
        <w:t xml:space="preserve"> </w:t>
      </w:r>
      <w:r w:rsidRPr="00A20489">
        <w:rPr>
          <w:rFonts w:ascii="Bookman Old Style" w:eastAsia="Times New Roman" w:hAnsi="Bookman Old Style" w:cs="Times New Roman"/>
          <w:color w:val="000000"/>
          <w:lang w:eastAsia="it-IT"/>
        </w:rPr>
        <w:t xml:space="preserve">dopo le parole </w:t>
      </w:r>
      <w:r w:rsidR="008D0643" w:rsidRPr="00A20489">
        <w:rPr>
          <w:rFonts w:ascii="Bookman Old Style" w:eastAsia="Times New Roman" w:hAnsi="Bookman Old Style" w:cs="Times New Roman"/>
          <w:color w:val="000000"/>
          <w:lang w:eastAsia="it-IT"/>
        </w:rPr>
        <w:t>"Ministro dell’economia e delle finanze", aggiungere</w:t>
      </w:r>
      <w:r w:rsidRPr="00A20489">
        <w:rPr>
          <w:rFonts w:ascii="Bookman Old Style" w:eastAsia="Times New Roman" w:hAnsi="Bookman Old Style" w:cs="Times New Roman"/>
          <w:color w:val="000000"/>
          <w:lang w:eastAsia="it-IT"/>
        </w:rPr>
        <w:t xml:space="preserve"> le seguenti parole</w:t>
      </w:r>
      <w:r w:rsidR="008D0643" w:rsidRPr="00A20489">
        <w:rPr>
          <w:rFonts w:ascii="Bookman Old Style" w:eastAsia="Times New Roman" w:hAnsi="Bookman Old Style" w:cs="Times New Roman"/>
          <w:color w:val="000000"/>
          <w:lang w:eastAsia="it-IT"/>
        </w:rPr>
        <w:t xml:space="preserve"> “d’intesa con la Conferenza unificata di cui all’articolo 8 del decreto legislativo 28 agosto 1997, n. 281”.</w:t>
      </w:r>
    </w:p>
    <w:p w14:paraId="04A5D915" w14:textId="77777777" w:rsidR="008D0643" w:rsidRPr="00A20489" w:rsidRDefault="008D0643" w:rsidP="00321948">
      <w:pPr>
        <w:spacing w:after="80"/>
        <w:jc w:val="center"/>
        <w:textAlignment w:val="baseline"/>
        <w:rPr>
          <w:rFonts w:ascii="Bookman Old Style" w:eastAsia="Times New Roman" w:hAnsi="Bookman Old Style" w:cs="Calibri"/>
          <w:b/>
          <w:bCs/>
          <w:color w:val="000000"/>
          <w:lang w:eastAsia="it-IT"/>
        </w:rPr>
      </w:pPr>
      <w:r w:rsidRPr="00A20489">
        <w:rPr>
          <w:rFonts w:ascii="Bookman Old Style" w:eastAsia="Times New Roman" w:hAnsi="Bookman Old Style" w:cs="Calibri"/>
          <w:b/>
          <w:bCs/>
          <w:color w:val="000000"/>
          <w:lang w:eastAsia="it-IT"/>
        </w:rPr>
        <w:t>Motivazione</w:t>
      </w:r>
    </w:p>
    <w:p w14:paraId="6985A2F0" w14:textId="77777777" w:rsidR="008D0643" w:rsidRPr="00A20489" w:rsidRDefault="008D0643" w:rsidP="00321948">
      <w:pPr>
        <w:spacing w:after="80"/>
        <w:jc w:val="both"/>
        <w:textAlignment w:val="baseline"/>
        <w:rPr>
          <w:rFonts w:ascii="Bookman Old Style" w:eastAsia="Times New Roman" w:hAnsi="Bookman Old Style" w:cs="Calibri"/>
          <w:i/>
          <w:iCs/>
          <w:color w:val="000000"/>
          <w:lang w:eastAsia="it-IT"/>
        </w:rPr>
      </w:pPr>
      <w:r w:rsidRPr="00A20489">
        <w:rPr>
          <w:rFonts w:ascii="Bookman Old Style" w:eastAsia="Times New Roman" w:hAnsi="Bookman Old Style" w:cstheme="majorBidi"/>
          <w:i/>
          <w:iCs/>
          <w:lang w:eastAsia="it-IT"/>
        </w:rPr>
        <w:t>L’emendamento ha la finalità di incrementare in modo significativo – a 20 milioni di euro l’anno- la dotazione del Fondo per il potenziamento del funzionamento dei sistemi bibliotecari locali, al fine adeguare le risorse disponibili agli ambiziosi obiettivi di rinnovamento organizzativo e di sviluppo di servizi forniti alla cittadinanza, consentendo l’incremento dell’efficienza gestionale del settore bibliotecario nella sua interezza e stimolando sviluppi di crescita organizzativa e di crescita culturale del territorio.</w:t>
      </w:r>
    </w:p>
    <w:p w14:paraId="2EA50BEB" w14:textId="77777777" w:rsidR="008D0643" w:rsidRPr="00A20489" w:rsidRDefault="008D0643" w:rsidP="00321948">
      <w:pPr>
        <w:spacing w:after="80"/>
        <w:jc w:val="both"/>
        <w:rPr>
          <w:rFonts w:ascii="Bookman Old Style" w:hAnsi="Bookman Old Style"/>
        </w:rPr>
      </w:pPr>
    </w:p>
    <w:p w14:paraId="40F2ED3C" w14:textId="02911ABC" w:rsidR="001562D0" w:rsidRPr="00A104E9" w:rsidRDefault="008D064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4" w:name="_Toc121214321"/>
      <w:r w:rsidRPr="00A104E9">
        <w:rPr>
          <w:rFonts w:ascii="Bookman Old Style" w:hAnsi="Bookman Old Style"/>
          <w:b/>
          <w:bCs/>
          <w:color w:val="2F5496" w:themeColor="accent1" w:themeShade="BF"/>
          <w:sz w:val="22"/>
          <w:szCs w:val="22"/>
        </w:rPr>
        <w:t>Adozione del nuovo Fondo unico nazionale per il turismo</w:t>
      </w:r>
      <w:bookmarkEnd w:id="114"/>
      <w:r w:rsidRPr="00A104E9">
        <w:rPr>
          <w:rFonts w:ascii="Bookman Old Style" w:hAnsi="Bookman Old Style"/>
          <w:b/>
          <w:bCs/>
          <w:color w:val="2F5496" w:themeColor="accent1" w:themeShade="BF"/>
          <w:sz w:val="22"/>
          <w:szCs w:val="22"/>
        </w:rPr>
        <w:t xml:space="preserve"> </w:t>
      </w:r>
    </w:p>
    <w:p w14:paraId="3FF62930" w14:textId="22DFE651" w:rsidR="00FF5DD7" w:rsidRPr="00A20489" w:rsidRDefault="00FF5DD7" w:rsidP="00FF5DD7">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106 aggiungere il seguente art. 106</w:t>
      </w:r>
      <w:r w:rsidR="00EB45D9">
        <w:rPr>
          <w:rFonts w:ascii="Bookman Old Style" w:hAnsi="Bookman Old Style"/>
          <w:i/>
          <w:iCs/>
          <w:sz w:val="22"/>
          <w:szCs w:val="22"/>
        </w:rPr>
        <w:t>-</w:t>
      </w:r>
      <w:r w:rsidRPr="00A20489">
        <w:rPr>
          <w:rFonts w:ascii="Bookman Old Style" w:hAnsi="Bookman Old Style"/>
          <w:i/>
          <w:iCs/>
          <w:sz w:val="22"/>
          <w:szCs w:val="22"/>
        </w:rPr>
        <w:t>bis</w:t>
      </w:r>
    </w:p>
    <w:p w14:paraId="762DC9BB" w14:textId="216D74C7" w:rsidR="00FF5DD7" w:rsidRPr="00A20489" w:rsidRDefault="00EB45D9" w:rsidP="00FF5DD7">
      <w:pPr>
        <w:pStyle w:val="PreformattatoHTML"/>
        <w:shd w:val="clear" w:color="auto" w:fill="FFFFFF"/>
        <w:spacing w:after="80" w:line="259" w:lineRule="auto"/>
        <w:jc w:val="both"/>
        <w:rPr>
          <w:rFonts w:ascii="Bookman Old Style" w:hAnsi="Bookman Old Style"/>
          <w:i/>
          <w:iCs/>
          <w:sz w:val="22"/>
          <w:szCs w:val="22"/>
        </w:rPr>
      </w:pPr>
      <w:r>
        <w:rPr>
          <w:rFonts w:ascii="Bookman Old Style" w:hAnsi="Bookman Old Style"/>
          <w:i/>
          <w:iCs/>
          <w:sz w:val="22"/>
          <w:szCs w:val="22"/>
        </w:rPr>
        <w:t>A</w:t>
      </w:r>
      <w:r w:rsidR="00FF5DD7" w:rsidRPr="00A20489">
        <w:rPr>
          <w:rFonts w:ascii="Bookman Old Style" w:hAnsi="Bookman Old Style"/>
          <w:i/>
          <w:iCs/>
          <w:sz w:val="22"/>
          <w:szCs w:val="22"/>
        </w:rPr>
        <w:t>rt. 106</w:t>
      </w:r>
      <w:r>
        <w:rPr>
          <w:rFonts w:ascii="Bookman Old Style" w:hAnsi="Bookman Old Style"/>
          <w:i/>
          <w:iCs/>
          <w:sz w:val="22"/>
          <w:szCs w:val="22"/>
        </w:rPr>
        <w:t>-</w:t>
      </w:r>
      <w:r w:rsidR="00FF5DD7" w:rsidRPr="00A20489">
        <w:rPr>
          <w:rFonts w:ascii="Bookman Old Style" w:hAnsi="Bookman Old Style"/>
          <w:i/>
          <w:iCs/>
          <w:sz w:val="22"/>
          <w:szCs w:val="22"/>
        </w:rPr>
        <w:t>bis</w:t>
      </w:r>
      <w:r w:rsidR="00C51DF8">
        <w:rPr>
          <w:rFonts w:ascii="Bookman Old Style" w:hAnsi="Bookman Old Style"/>
          <w:i/>
          <w:iCs/>
          <w:sz w:val="22"/>
          <w:szCs w:val="22"/>
        </w:rPr>
        <w:t xml:space="preserve"> (Disposizioni in materia di Fondo unico nazionale per il turismo)</w:t>
      </w:r>
    </w:p>
    <w:p w14:paraId="6C4A21DE" w14:textId="5B210319" w:rsidR="008D0643" w:rsidRPr="00C51DF8" w:rsidRDefault="00C51DF8" w:rsidP="00321948">
      <w:pPr>
        <w:spacing w:after="80"/>
        <w:jc w:val="both"/>
        <w:rPr>
          <w:rFonts w:ascii="Bookman Old Style" w:eastAsia="Times New Roman" w:hAnsi="Bookman Old Style" w:cs="Times New Roman"/>
          <w:color w:val="000000"/>
          <w:lang w:eastAsia="it-IT"/>
        </w:rPr>
      </w:pPr>
      <w:r w:rsidRPr="00C51DF8">
        <w:rPr>
          <w:rFonts w:ascii="Bookman Old Style" w:hAnsi="Bookman Old Style"/>
        </w:rPr>
        <w:t xml:space="preserve">1. </w:t>
      </w:r>
      <w:r w:rsidR="008D0643" w:rsidRPr="00C51DF8">
        <w:rPr>
          <w:rFonts w:ascii="Bookman Old Style" w:hAnsi="Bookman Old Style"/>
        </w:rPr>
        <w:t>Al</w:t>
      </w:r>
      <w:r w:rsidR="004716ED" w:rsidRPr="00C51DF8">
        <w:rPr>
          <w:rFonts w:ascii="Bookman Old Style" w:hAnsi="Bookman Old Style"/>
        </w:rPr>
        <w:t xml:space="preserve">l’art.1, comma 366 </w:t>
      </w:r>
      <w:r w:rsidR="006F637E" w:rsidRPr="00C51DF8">
        <w:rPr>
          <w:rFonts w:ascii="Bookman Old Style" w:hAnsi="Bookman Old Style"/>
        </w:rPr>
        <w:t>della legge 30 dicembre 2021, n. 234</w:t>
      </w:r>
      <w:r w:rsidR="008D0643" w:rsidRPr="00C51DF8">
        <w:rPr>
          <w:rFonts w:ascii="Bookman Old Style" w:hAnsi="Bookman Old Style"/>
        </w:rPr>
        <w:t>, dopo</w:t>
      </w:r>
      <w:r w:rsidR="006F637E" w:rsidRPr="00C51DF8">
        <w:rPr>
          <w:rFonts w:ascii="Bookman Old Style" w:hAnsi="Bookman Old Style"/>
        </w:rPr>
        <w:t xml:space="preserve"> le parole</w:t>
      </w:r>
      <w:r w:rsidR="008D0643" w:rsidRPr="00C51DF8">
        <w:rPr>
          <w:rFonts w:ascii="Bookman Old Style" w:hAnsi="Bookman Old Style"/>
        </w:rPr>
        <w:t xml:space="preserve"> “da </w:t>
      </w:r>
      <w:r w:rsidR="00B75C1E" w:rsidRPr="00C51DF8">
        <w:rPr>
          <w:rFonts w:ascii="Bookman Old Style" w:hAnsi="Bookman Old Style"/>
        </w:rPr>
        <w:t>ripartire</w:t>
      </w:r>
      <w:r w:rsidR="008D0643" w:rsidRPr="00C51DF8">
        <w:rPr>
          <w:rFonts w:ascii="Bookman Old Style" w:hAnsi="Bookman Old Style"/>
        </w:rPr>
        <w:t>”, inserire</w:t>
      </w:r>
      <w:r w:rsidR="006F637E" w:rsidRPr="00C51DF8">
        <w:rPr>
          <w:rFonts w:ascii="Bookman Old Style" w:hAnsi="Bookman Old Style"/>
        </w:rPr>
        <w:t xml:space="preserve"> le seguenti parole</w:t>
      </w:r>
      <w:r w:rsidR="008D0643" w:rsidRPr="00C51DF8">
        <w:rPr>
          <w:rFonts w:ascii="Bookman Old Style" w:hAnsi="Bookman Old Style"/>
        </w:rPr>
        <w:t xml:space="preserve"> “</w:t>
      </w:r>
      <w:r w:rsidR="002639FE" w:rsidRPr="00C51DF8">
        <w:rPr>
          <w:rFonts w:ascii="Bookman Old Style" w:hAnsi="Bookman Old Style"/>
        </w:rPr>
        <w:t xml:space="preserve">, </w:t>
      </w:r>
      <w:r w:rsidR="008D0643" w:rsidRPr="00C51DF8">
        <w:rPr>
          <w:rFonts w:ascii="Bookman Old Style" w:eastAsia="Times New Roman" w:hAnsi="Bookman Old Style" w:cs="Times New Roman"/>
          <w:color w:val="000000"/>
          <w:lang w:eastAsia="it-IT"/>
        </w:rPr>
        <w:t>previa intesa in sede di Conferenza unificata di cui all’articolo 8 del decreto legislativo 28 agosto 1997, n. 281</w:t>
      </w:r>
      <w:r w:rsidR="002639FE" w:rsidRPr="00C51DF8">
        <w:rPr>
          <w:rFonts w:ascii="Bookman Old Style" w:eastAsia="Times New Roman" w:hAnsi="Bookman Old Style" w:cs="Times New Roman"/>
          <w:color w:val="000000"/>
          <w:lang w:eastAsia="it-IT"/>
        </w:rPr>
        <w:t>,</w:t>
      </w:r>
      <w:r w:rsidR="008D0643" w:rsidRPr="00C51DF8">
        <w:rPr>
          <w:rFonts w:ascii="Bookman Old Style" w:eastAsia="Times New Roman" w:hAnsi="Bookman Old Style" w:cs="Times New Roman"/>
          <w:color w:val="000000"/>
          <w:lang w:eastAsia="it-IT"/>
        </w:rPr>
        <w:t>”</w:t>
      </w:r>
    </w:p>
    <w:p w14:paraId="34554B9B" w14:textId="77777777" w:rsidR="008D0643" w:rsidRPr="00A20489" w:rsidRDefault="008D0643" w:rsidP="00321948">
      <w:pPr>
        <w:spacing w:after="80"/>
        <w:jc w:val="center"/>
        <w:textAlignment w:val="baseline"/>
        <w:rPr>
          <w:rFonts w:ascii="Bookman Old Style" w:eastAsia="Times New Roman" w:hAnsi="Bookman Old Style" w:cs="Calibri"/>
          <w:b/>
          <w:bCs/>
          <w:color w:val="000000"/>
          <w:lang w:eastAsia="it-IT"/>
        </w:rPr>
      </w:pPr>
      <w:r w:rsidRPr="00A20489">
        <w:rPr>
          <w:rFonts w:ascii="Bookman Old Style" w:eastAsia="Times New Roman" w:hAnsi="Bookman Old Style" w:cs="Calibri"/>
          <w:b/>
          <w:bCs/>
          <w:color w:val="000000"/>
          <w:lang w:eastAsia="it-IT"/>
        </w:rPr>
        <w:t>Motivazione</w:t>
      </w:r>
    </w:p>
    <w:p w14:paraId="47423CF8" w14:textId="528F7054" w:rsidR="008D0643" w:rsidRPr="00A20489" w:rsidRDefault="008D0643" w:rsidP="00321948">
      <w:pPr>
        <w:spacing w:after="80"/>
        <w:jc w:val="both"/>
        <w:rPr>
          <w:rFonts w:ascii="Bookman Old Style" w:hAnsi="Bookman Old Style"/>
          <w:i/>
          <w:iCs/>
        </w:rPr>
      </w:pPr>
      <w:r w:rsidRPr="00A20489">
        <w:rPr>
          <w:rFonts w:ascii="Bookman Old Style" w:eastAsia="Times New Roman" w:hAnsi="Bookman Old Style" w:cstheme="majorBidi"/>
          <w:i/>
          <w:iCs/>
          <w:lang w:eastAsia="it-IT"/>
        </w:rPr>
        <w:t>L’emendamento inserisce la previsione dell’</w:t>
      </w:r>
      <w:r w:rsidR="002639FE" w:rsidRPr="00A20489">
        <w:rPr>
          <w:rFonts w:ascii="Bookman Old Style" w:eastAsia="Times New Roman" w:hAnsi="Bookman Old Style" w:cstheme="majorBidi"/>
          <w:i/>
          <w:iCs/>
          <w:lang w:eastAsia="it-IT"/>
        </w:rPr>
        <w:t>I</w:t>
      </w:r>
      <w:r w:rsidRPr="00A20489">
        <w:rPr>
          <w:rFonts w:ascii="Bookman Old Style" w:eastAsia="Times New Roman" w:hAnsi="Bookman Old Style" w:cstheme="majorBidi"/>
          <w:i/>
          <w:iCs/>
          <w:lang w:eastAsia="it-IT"/>
        </w:rPr>
        <w:t>ntesa in Conferenza Unificata per quanto riguarda il decreto che disciplina le modalità di attuazione, di riparto e di assegnazione delle risorse del nuovo Fondo unico nazionale per il turismo, passaggio che appare necessario visto che la materia rientra ampiamente fra quelle di competenza dell</w:t>
      </w:r>
      <w:r w:rsidR="008B06CB" w:rsidRPr="00A20489">
        <w:rPr>
          <w:rFonts w:ascii="Bookman Old Style" w:eastAsia="Times New Roman" w:hAnsi="Bookman Old Style" w:cstheme="majorBidi"/>
          <w:i/>
          <w:iCs/>
          <w:lang w:eastAsia="it-IT"/>
        </w:rPr>
        <w:t>e</w:t>
      </w:r>
      <w:r w:rsidRPr="00A20489">
        <w:rPr>
          <w:rFonts w:ascii="Bookman Old Style" w:eastAsia="Times New Roman" w:hAnsi="Bookman Old Style" w:cstheme="majorBidi"/>
          <w:i/>
          <w:iCs/>
          <w:lang w:eastAsia="it-IT"/>
        </w:rPr>
        <w:t xml:space="preserve"> autonomie locali.</w:t>
      </w:r>
    </w:p>
    <w:p w14:paraId="0CC0F0A9" w14:textId="5329D0C2" w:rsidR="00E558EC" w:rsidRPr="00A20489" w:rsidRDefault="00E558EC" w:rsidP="00321948">
      <w:pPr>
        <w:pStyle w:val="Titolo1"/>
        <w:spacing w:before="0" w:after="80"/>
        <w:rPr>
          <w:rFonts w:ascii="Bookman Old Style" w:eastAsia="Times New Roman" w:hAnsi="Bookman Old Style"/>
          <w:sz w:val="22"/>
          <w:szCs w:val="22"/>
          <w:lang w:eastAsia="it-IT"/>
        </w:rPr>
      </w:pPr>
    </w:p>
    <w:p w14:paraId="6A38E554" w14:textId="7C45FA70" w:rsidR="0018757D" w:rsidRPr="00A20489" w:rsidRDefault="0018757D">
      <w:pPr>
        <w:rPr>
          <w:rFonts w:ascii="Bookman Old Style" w:eastAsia="Times New Roman" w:hAnsi="Bookman Old Style" w:cstheme="majorBidi"/>
          <w:b/>
          <w:bCs/>
          <w:color w:val="2F5496" w:themeColor="accent1" w:themeShade="BF"/>
          <w:lang w:eastAsia="it-IT"/>
        </w:rPr>
      </w:pPr>
    </w:p>
    <w:p w14:paraId="183BD1F1" w14:textId="094D0156" w:rsidR="005B64AC" w:rsidRPr="00A20489" w:rsidRDefault="005B64AC" w:rsidP="00321948">
      <w:pPr>
        <w:pStyle w:val="Titolo1"/>
        <w:spacing w:before="0" w:after="80"/>
        <w:rPr>
          <w:rFonts w:ascii="Bookman Old Style" w:eastAsia="Times New Roman" w:hAnsi="Bookman Old Style"/>
          <w:b/>
          <w:bCs/>
          <w:sz w:val="22"/>
          <w:szCs w:val="22"/>
          <w:lang w:eastAsia="it-IT"/>
        </w:rPr>
      </w:pPr>
      <w:bookmarkStart w:id="115" w:name="_Toc121214322"/>
      <w:r w:rsidRPr="00A20489">
        <w:rPr>
          <w:rFonts w:ascii="Bookman Old Style" w:eastAsia="Times New Roman" w:hAnsi="Bookman Old Style"/>
          <w:b/>
          <w:bCs/>
          <w:sz w:val="22"/>
          <w:szCs w:val="22"/>
          <w:lang w:eastAsia="it-IT"/>
        </w:rPr>
        <w:t>PICCOLI COMUNI E GESTIONI ASSOCIATE</w:t>
      </w:r>
      <w:bookmarkEnd w:id="115"/>
    </w:p>
    <w:p w14:paraId="4601CD18" w14:textId="3F89E523" w:rsidR="005B64AC" w:rsidRPr="00A104E9" w:rsidRDefault="005B64A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6" w:name="_Toc121214323"/>
      <w:r w:rsidRPr="00A104E9">
        <w:rPr>
          <w:rFonts w:ascii="Bookman Old Style" w:hAnsi="Bookman Old Style"/>
          <w:b/>
          <w:bCs/>
          <w:color w:val="2F5496" w:themeColor="accent1" w:themeShade="BF"/>
          <w:sz w:val="22"/>
          <w:szCs w:val="22"/>
        </w:rPr>
        <w:t>Interventi a favore delle gestioni associate</w:t>
      </w:r>
      <w:bookmarkEnd w:id="116"/>
    </w:p>
    <w:p w14:paraId="0CD4D758" w14:textId="2537A68D" w:rsidR="008A2373" w:rsidRPr="00A20489" w:rsidRDefault="008A2373" w:rsidP="008A2373">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146 aggiungere il seguente art. 146</w:t>
      </w:r>
      <w:r>
        <w:rPr>
          <w:rFonts w:ascii="Bookman Old Style" w:hAnsi="Bookman Old Style"/>
          <w:i/>
          <w:iCs/>
          <w:sz w:val="22"/>
          <w:szCs w:val="22"/>
        </w:rPr>
        <w:t>-</w:t>
      </w:r>
      <w:r w:rsidRPr="00A20489">
        <w:rPr>
          <w:rFonts w:ascii="Bookman Old Style" w:hAnsi="Bookman Old Style"/>
          <w:i/>
          <w:iCs/>
          <w:sz w:val="22"/>
          <w:szCs w:val="22"/>
        </w:rPr>
        <w:t>bis</w:t>
      </w:r>
    </w:p>
    <w:p w14:paraId="691803B5" w14:textId="2C991D13" w:rsidR="008A2373" w:rsidRPr="008A2373" w:rsidRDefault="008A2373" w:rsidP="008A2373">
      <w:pPr>
        <w:pStyle w:val="PreformattatoHTML"/>
        <w:shd w:val="clear" w:color="auto" w:fill="FFFFFF"/>
        <w:spacing w:after="80" w:line="259" w:lineRule="auto"/>
        <w:jc w:val="center"/>
        <w:rPr>
          <w:rFonts w:ascii="Bookman Old Style" w:hAnsi="Bookman Old Style"/>
          <w:i/>
          <w:iCs/>
          <w:sz w:val="22"/>
          <w:szCs w:val="22"/>
        </w:rPr>
      </w:pPr>
      <w:r w:rsidRPr="008A2373">
        <w:rPr>
          <w:rFonts w:ascii="Bookman Old Style" w:hAnsi="Bookman Old Style"/>
          <w:i/>
          <w:iCs/>
          <w:sz w:val="22"/>
          <w:szCs w:val="22"/>
        </w:rPr>
        <w:t>Art. 146-bis (Interventi a favore del</w:t>
      </w:r>
      <w:r>
        <w:rPr>
          <w:rFonts w:ascii="Bookman Old Style" w:hAnsi="Bookman Old Style"/>
          <w:i/>
          <w:iCs/>
          <w:sz w:val="22"/>
          <w:szCs w:val="22"/>
        </w:rPr>
        <w:t>le gestioni associate comunali)</w:t>
      </w:r>
    </w:p>
    <w:p w14:paraId="36AA6BC1" w14:textId="7FB2ED47" w:rsidR="005B64AC" w:rsidRPr="00A20489" w:rsidRDefault="008838FE" w:rsidP="00321948">
      <w:pPr>
        <w:spacing w:after="80"/>
        <w:jc w:val="both"/>
        <w:rPr>
          <w:rFonts w:ascii="Bookman Old Style" w:hAnsi="Bookman Old Style"/>
          <w:iCs/>
        </w:rPr>
      </w:pPr>
      <w:r>
        <w:rPr>
          <w:rFonts w:ascii="Bookman Old Style" w:hAnsi="Bookman Old Style"/>
          <w:iCs/>
        </w:rPr>
        <w:t xml:space="preserve">1. </w:t>
      </w:r>
      <w:r w:rsidR="005B64AC" w:rsidRPr="00A20489">
        <w:rPr>
          <w:rFonts w:ascii="Bookman Old Style" w:hAnsi="Bookman Old Style"/>
          <w:iCs/>
        </w:rPr>
        <w:t>Alla legge 28 dicembre 2015, n. 208, all’articolo1, comma 17 lettera b), sostituire le parole “non inferiore a 30 milioni di euro a decorrere dall’anno 2014, è destinata ad incrementare il contributo spettante alle unioni di comuni ai sensi dell’articolo 53, comma 10, della legge 23 dicembre 2000, n. 388, e successive modificazioni” con le seguenti:</w:t>
      </w:r>
    </w:p>
    <w:p w14:paraId="42F48FD3" w14:textId="77777777" w:rsidR="005B64AC" w:rsidRPr="00A20489" w:rsidRDefault="005B64AC" w:rsidP="00321948">
      <w:pPr>
        <w:spacing w:after="80"/>
        <w:ind w:left="284"/>
        <w:jc w:val="both"/>
        <w:rPr>
          <w:rFonts w:ascii="Bookman Old Style" w:hAnsi="Bookman Old Style"/>
          <w:iCs/>
        </w:rPr>
      </w:pPr>
      <w:r w:rsidRPr="00A20489">
        <w:rPr>
          <w:rFonts w:ascii="Bookman Old Style" w:hAnsi="Bookman Old Style"/>
          <w:iCs/>
        </w:rPr>
        <w:t>“non inferiore a 30 milioni di euro a decorrere dall’anno 2014 e non inferiore a 50 milioni di euro a decorrere dall’anno 2023, è destinata ad incrementare il contributo spettante alle unioni di comuni ai sensi dell’articolo 53, comma 10, della legge 23 dicembre 2000, n. 388, e successive modificazioni. Ai fini di cui al periodo precedente, a decorrere dall’anno 2023 il Fondo di solidarietà comunale è incrementato di 20 milioni di euro e al relativo onere si provvede mediante riduzione di pari importo</w:t>
      </w:r>
      <w:r w:rsidRPr="00A20489">
        <w:rPr>
          <w:rFonts w:ascii="Bookman Old Style" w:hAnsi="Bookman Old Style"/>
          <w:iCs/>
          <w:lang w:eastAsia="fr-FR"/>
        </w:rPr>
        <w:t xml:space="preserve"> del fondo per la compensazione degli effetti finanziari non previsti a legislazione vigente, di cui all’articolo 6, comma 2, del decreto-legge n. 154 del 2008.</w:t>
      </w:r>
    </w:p>
    <w:p w14:paraId="622D8F48" w14:textId="77777777" w:rsidR="005B64AC" w:rsidRPr="00A20489" w:rsidRDefault="005B64AC" w:rsidP="00321948">
      <w:pPr>
        <w:spacing w:after="80"/>
        <w:jc w:val="center"/>
        <w:rPr>
          <w:rFonts w:ascii="Bookman Old Style" w:hAnsi="Bookman Old Style"/>
          <w:b/>
          <w:bCs/>
        </w:rPr>
      </w:pPr>
      <w:r w:rsidRPr="00A20489">
        <w:rPr>
          <w:rFonts w:ascii="Bookman Old Style" w:hAnsi="Bookman Old Style"/>
          <w:b/>
          <w:bCs/>
        </w:rPr>
        <w:t>Motivazione</w:t>
      </w:r>
    </w:p>
    <w:p w14:paraId="63BFE7D8" w14:textId="77777777" w:rsidR="005B64AC" w:rsidRPr="00A20489" w:rsidRDefault="005B64AC" w:rsidP="00321948">
      <w:pPr>
        <w:spacing w:after="80"/>
        <w:jc w:val="both"/>
        <w:textAlignment w:val="baseline"/>
        <w:rPr>
          <w:rFonts w:ascii="Bookman Old Style" w:eastAsia="Times New Roman" w:hAnsi="Bookman Old Style" w:cs="Segoe UI"/>
          <w:i/>
          <w:iCs/>
          <w:lang w:eastAsia="it-IT"/>
        </w:rPr>
      </w:pPr>
      <w:r w:rsidRPr="00A20489">
        <w:rPr>
          <w:rFonts w:ascii="Bookman Old Style" w:eastAsia="Times New Roman" w:hAnsi="Bookman Old Style" w:cs="Times New Roman"/>
          <w:i/>
          <w:iCs/>
          <w:lang w:eastAsia="it-IT"/>
        </w:rPr>
        <w:t xml:space="preserve">In attesa del riordino della normativa sulle gestioni associate nella revisione del TUEL, per un deciso rilancio del tema del rafforzamento della governance locale attraverso una migliore erogazione dei servizi e delle funzioni comunali, occorre un segnale di sostegno concreto per lo sviluppo dei processi associativi. Le </w:t>
      </w:r>
      <w:r w:rsidRPr="00A20489">
        <w:rPr>
          <w:rFonts w:ascii="Bookman Old Style" w:eastAsia="Times New Roman" w:hAnsi="Bookman Old Style" w:cs="Times New Roman"/>
          <w:b/>
          <w:bCs/>
          <w:i/>
          <w:iCs/>
          <w:lang w:eastAsia="it-IT"/>
        </w:rPr>
        <w:t>circa 500 Unioni di Comuni</w:t>
      </w:r>
      <w:r w:rsidRPr="00A20489">
        <w:rPr>
          <w:rFonts w:ascii="Bookman Old Style" w:eastAsia="Times New Roman" w:hAnsi="Bookman Old Style" w:cs="Times New Roman"/>
          <w:i/>
          <w:iCs/>
          <w:lang w:eastAsia="it-IT"/>
        </w:rPr>
        <w:t>, Ente locale associativo di principale riferimento, che ad oggi risultano costituite in ogni Regione testimoniano la volontà di cooperare in rete di circa 3.000 Comuni, nonostante l’incertezza di una normativa che non ne agevola il percorso come dovrebbe per rafforzare, in particolare, i piccoli Comuni. L’emendamento è volto a conferire una più adeguata consistenza e certezza dei contributi statali risalenti al 2014, anno in cui erano costituite circa 370 Unioni per 1900 Comuni.</w:t>
      </w:r>
    </w:p>
    <w:p w14:paraId="064F0F37" w14:textId="3C63146D" w:rsidR="00A64E1E" w:rsidRPr="00A20489" w:rsidRDefault="005B64AC" w:rsidP="009950E2">
      <w:pPr>
        <w:spacing w:after="80"/>
        <w:jc w:val="both"/>
        <w:textAlignment w:val="baseline"/>
        <w:rPr>
          <w:rFonts w:ascii="Bookman Old Style" w:eastAsiaTheme="majorEastAsia" w:hAnsi="Bookman Old Style" w:cs="Segoe UI"/>
          <w:i/>
          <w:iCs/>
          <w:lang w:eastAsia="it-IT"/>
        </w:rPr>
      </w:pPr>
      <w:r w:rsidRPr="00A20489">
        <w:rPr>
          <w:rFonts w:ascii="Bookman Old Style" w:eastAsiaTheme="majorEastAsia" w:hAnsi="Bookman Old Style" w:cs="Segoe UI"/>
          <w:i/>
          <w:iCs/>
          <w:lang w:eastAsia="it-IT"/>
        </w:rPr>
        <w:t> </w:t>
      </w:r>
    </w:p>
    <w:p w14:paraId="3442C248" w14:textId="77777777" w:rsidR="00091AF0" w:rsidRDefault="00091AF0">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150F5F36" w14:textId="318AF136" w:rsidR="00230C45" w:rsidRPr="00A104E9" w:rsidRDefault="00173F8C"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7" w:name="_Toc121214324"/>
      <w:r w:rsidRPr="00A104E9">
        <w:rPr>
          <w:rFonts w:ascii="Bookman Old Style" w:hAnsi="Bookman Old Style"/>
          <w:b/>
          <w:bCs/>
          <w:color w:val="2F5496" w:themeColor="accent1" w:themeShade="BF"/>
          <w:sz w:val="22"/>
          <w:szCs w:val="22"/>
        </w:rPr>
        <w:t>Riferimento demografico per indennità</w:t>
      </w:r>
      <w:bookmarkEnd w:id="117"/>
    </w:p>
    <w:p w14:paraId="2864C7AD" w14:textId="77777777" w:rsidR="00B428BE" w:rsidRPr="00A20489" w:rsidRDefault="00B428BE" w:rsidP="00355F3C">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146 aggiungere il seguente art. 146 bis</w:t>
      </w:r>
    </w:p>
    <w:p w14:paraId="5BC1B164" w14:textId="4EFC222A" w:rsidR="002E76CF" w:rsidRPr="008A2373" w:rsidRDefault="002E76CF" w:rsidP="00355F3C">
      <w:pPr>
        <w:pStyle w:val="PreformattatoHTML"/>
        <w:shd w:val="clear" w:color="auto" w:fill="FFFFFF"/>
        <w:spacing w:after="80" w:line="259" w:lineRule="auto"/>
        <w:jc w:val="center"/>
        <w:rPr>
          <w:rFonts w:ascii="Bookman Old Style" w:hAnsi="Bookman Old Style"/>
          <w:i/>
          <w:iCs/>
          <w:sz w:val="22"/>
          <w:szCs w:val="22"/>
        </w:rPr>
      </w:pPr>
      <w:r w:rsidRPr="008A2373">
        <w:rPr>
          <w:rFonts w:ascii="Bookman Old Style" w:hAnsi="Bookman Old Style"/>
          <w:i/>
          <w:iCs/>
          <w:sz w:val="22"/>
          <w:szCs w:val="22"/>
        </w:rPr>
        <w:t>Art. 146-bis (</w:t>
      </w:r>
      <w:r>
        <w:rPr>
          <w:rFonts w:ascii="Bookman Old Style" w:hAnsi="Bookman Old Style"/>
          <w:i/>
          <w:iCs/>
          <w:sz w:val="22"/>
          <w:szCs w:val="22"/>
        </w:rPr>
        <w:t>Riferimento demografico per le indennità degli amministratori)</w:t>
      </w:r>
    </w:p>
    <w:p w14:paraId="4B761A92" w14:textId="056EB651" w:rsidR="00230C45" w:rsidRPr="00A20489" w:rsidRDefault="002E76CF" w:rsidP="00355F3C">
      <w:pPr>
        <w:autoSpaceDE w:val="0"/>
        <w:autoSpaceDN w:val="0"/>
        <w:spacing w:after="80"/>
        <w:jc w:val="both"/>
        <w:rPr>
          <w:rFonts w:ascii="Bookman Old Style" w:hAnsi="Bookman Old Style"/>
          <w:i/>
          <w:iCs/>
        </w:rPr>
      </w:pPr>
      <w:r>
        <w:rPr>
          <w:rFonts w:ascii="Bookman Old Style" w:hAnsi="Bookman Old Style"/>
          <w:color w:val="000000"/>
        </w:rPr>
        <w:t xml:space="preserve">1. </w:t>
      </w:r>
      <w:r w:rsidR="00230C45" w:rsidRPr="00A20489">
        <w:rPr>
          <w:rFonts w:ascii="Bookman Old Style" w:hAnsi="Bookman Old Style"/>
          <w:color w:val="000000"/>
        </w:rPr>
        <w:t xml:space="preserve">Al comma 583 dell’articolo 1 della </w:t>
      </w:r>
      <w:r w:rsidR="00230C45" w:rsidRPr="00A20489">
        <w:rPr>
          <w:rFonts w:ascii="Bookman Old Style" w:hAnsi="Bookman Old Style"/>
        </w:rPr>
        <w:t>Legge 30 dicembre 2021, n. 234</w:t>
      </w:r>
      <w:r w:rsidR="00230C45" w:rsidRPr="00A20489">
        <w:rPr>
          <w:rFonts w:ascii="Bookman Old Style" w:hAnsi="Bookman Old Style"/>
          <w:b/>
          <w:bCs/>
        </w:rPr>
        <w:t xml:space="preserve"> </w:t>
      </w:r>
      <w:r w:rsidR="00230C45" w:rsidRPr="00A20489">
        <w:rPr>
          <w:rFonts w:ascii="Bookman Old Style" w:hAnsi="Bookman Old Style"/>
          <w:color w:val="000000"/>
        </w:rPr>
        <w:t>sostituire le parole “</w:t>
      </w:r>
      <w:r w:rsidR="00230C45" w:rsidRPr="00A20489">
        <w:rPr>
          <w:rFonts w:ascii="Bookman Old Style" w:hAnsi="Bookman Old Style"/>
          <w:i/>
          <w:iCs/>
          <w:color w:val="000000"/>
        </w:rPr>
        <w:t>in relazione alla popolazione</w:t>
      </w:r>
      <w:r w:rsidR="00230C45" w:rsidRPr="00A20489">
        <w:rPr>
          <w:rFonts w:ascii="Bookman Old Style" w:hAnsi="Bookman Old Style"/>
          <w:color w:val="000000"/>
        </w:rPr>
        <w:t xml:space="preserve"> </w:t>
      </w:r>
      <w:r w:rsidR="00230C45" w:rsidRPr="00A20489">
        <w:rPr>
          <w:rFonts w:ascii="Bookman Old Style" w:hAnsi="Bookman Old Style"/>
          <w:i/>
          <w:iCs/>
        </w:rPr>
        <w:t>risultante dall’ultimo censimento ufficiale</w:t>
      </w:r>
      <w:r w:rsidR="00230C45" w:rsidRPr="00A20489">
        <w:rPr>
          <w:rFonts w:ascii="Bookman Old Style" w:hAnsi="Bookman Old Style"/>
        </w:rPr>
        <w:t>” con le parole “</w:t>
      </w:r>
      <w:r w:rsidR="00230C45" w:rsidRPr="00A20489">
        <w:rPr>
          <w:rFonts w:ascii="Bookman Old Style" w:hAnsi="Bookman Old Style"/>
          <w:i/>
          <w:iCs/>
          <w:color w:val="000000"/>
        </w:rPr>
        <w:t xml:space="preserve">in relazione alla popolazione </w:t>
      </w:r>
      <w:r w:rsidR="00230C45" w:rsidRPr="00A20489">
        <w:rPr>
          <w:rFonts w:ascii="Bookman Old Style" w:hAnsi="Bookman Old Style"/>
          <w:i/>
          <w:iCs/>
        </w:rPr>
        <w:t>determinata</w:t>
      </w:r>
      <w:r w:rsidR="00230C45" w:rsidRPr="00A20489">
        <w:rPr>
          <w:rFonts w:ascii="Bookman Old Style" w:hAnsi="Bookman Old Style"/>
        </w:rPr>
        <w:t xml:space="preserve"> a</w:t>
      </w:r>
      <w:r w:rsidR="00230C45" w:rsidRPr="00A20489">
        <w:rPr>
          <w:rFonts w:ascii="Bookman Old Style" w:hAnsi="Bookman Old Style"/>
          <w:i/>
          <w:iCs/>
        </w:rPr>
        <w:t>i sensi dell’articolo 156, comma 2, del decreto legislativo 18 agosto 2000, n. 267”</w:t>
      </w:r>
    </w:p>
    <w:p w14:paraId="76379B31" w14:textId="2DF172C5" w:rsidR="00230C45" w:rsidRPr="00A20489" w:rsidRDefault="00173F8C" w:rsidP="00355F3C">
      <w:pPr>
        <w:autoSpaceDE w:val="0"/>
        <w:autoSpaceDN w:val="0"/>
        <w:spacing w:after="80"/>
        <w:jc w:val="center"/>
        <w:rPr>
          <w:rFonts w:ascii="Bookman Old Style" w:hAnsi="Bookman Old Style"/>
          <w:b/>
          <w:bCs/>
          <w:color w:val="000000"/>
        </w:rPr>
      </w:pPr>
      <w:r w:rsidRPr="00A20489">
        <w:rPr>
          <w:rFonts w:ascii="Bookman Old Style" w:hAnsi="Bookman Old Style"/>
          <w:b/>
          <w:bCs/>
          <w:color w:val="000000"/>
        </w:rPr>
        <w:t>Motivazione</w:t>
      </w:r>
    </w:p>
    <w:p w14:paraId="77BBA403" w14:textId="77777777" w:rsidR="00230C45" w:rsidRDefault="00230C45" w:rsidP="00355F3C">
      <w:pPr>
        <w:autoSpaceDE w:val="0"/>
        <w:autoSpaceDN w:val="0"/>
        <w:spacing w:after="80"/>
        <w:jc w:val="both"/>
        <w:rPr>
          <w:rFonts w:ascii="Bookman Old Style" w:hAnsi="Bookman Old Style"/>
          <w:i/>
          <w:iCs/>
          <w:color w:val="000000"/>
        </w:rPr>
      </w:pPr>
      <w:r w:rsidRPr="00A20489">
        <w:rPr>
          <w:rFonts w:ascii="Bookman Old Style" w:hAnsi="Bookman Old Style"/>
          <w:i/>
          <w:iCs/>
          <w:color w:val="000000"/>
        </w:rPr>
        <w:t>L’emendamento è opportuno in quanto la norma sta creando incertezze interpretative in merito all’individuazione della popolazione da prendere a riferimento per l’applicazione della disposizione in esame. Il criterio della popolazione residente calcolata alla fine del penultimo anno precedente di cui all’articolo 156, comma 2, del decreto legislativo n. 267/2000 rappresenta, da sempre, la normativa di riferimento per una dinamica modalità di rilevazione delle variazioni demografiche degli enti locali utili ai fini dell’adeguamento degli emolumenti spettanti agli Amministratori locali. L’ultimo censimento ufficiale, ovvero quello decennale, si presta invece più adeguatamente ad individuare la popolazione di riferimento per la composizione dei Consigli comunali come previsto opportunamente dall’art. 37 del decreto legislativo n.267/2000.</w:t>
      </w:r>
    </w:p>
    <w:p w14:paraId="160F9CC8" w14:textId="77777777" w:rsidR="00355F3C" w:rsidRDefault="00355F3C" w:rsidP="00355F3C">
      <w:pPr>
        <w:autoSpaceDE w:val="0"/>
        <w:autoSpaceDN w:val="0"/>
        <w:spacing w:after="80"/>
        <w:jc w:val="both"/>
        <w:rPr>
          <w:rFonts w:ascii="Bookman Old Style" w:hAnsi="Bookman Old Style"/>
          <w:i/>
          <w:iCs/>
          <w:color w:val="000000"/>
        </w:rPr>
      </w:pPr>
    </w:p>
    <w:p w14:paraId="2DC3217C" w14:textId="77777777" w:rsidR="00195BFF" w:rsidRDefault="006C27E4" w:rsidP="00195BFF">
      <w:pPr>
        <w:pStyle w:val="Titolo1"/>
        <w:spacing w:before="0" w:after="80"/>
        <w:rPr>
          <w:rFonts w:ascii="Bookman Old Style" w:eastAsia="Times New Roman" w:hAnsi="Bookman Old Style"/>
          <w:b/>
          <w:bCs/>
          <w:sz w:val="22"/>
          <w:szCs w:val="22"/>
          <w:lang w:eastAsia="it-IT"/>
        </w:rPr>
      </w:pPr>
      <w:bookmarkStart w:id="118" w:name="_Toc121214325"/>
      <w:r w:rsidRPr="00A20489">
        <w:rPr>
          <w:rFonts w:ascii="Bookman Old Style" w:eastAsia="Times New Roman" w:hAnsi="Bookman Old Style"/>
          <w:b/>
          <w:bCs/>
          <w:sz w:val="22"/>
          <w:szCs w:val="22"/>
          <w:lang w:eastAsia="it-IT"/>
        </w:rPr>
        <w:t>IMMIGRAZIONE</w:t>
      </w:r>
      <w:bookmarkEnd w:id="118"/>
    </w:p>
    <w:p w14:paraId="3960745D" w14:textId="5F120012" w:rsidR="006C27E4" w:rsidRPr="009E1B8B" w:rsidRDefault="006C27E4"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19" w:name="_Toc121214326"/>
      <w:r w:rsidRPr="009E1B8B">
        <w:rPr>
          <w:rFonts w:ascii="Bookman Old Style" w:hAnsi="Bookman Old Style"/>
          <w:b/>
          <w:bCs/>
          <w:color w:val="2F5496" w:themeColor="accent1" w:themeShade="BF"/>
          <w:sz w:val="22"/>
          <w:szCs w:val="22"/>
        </w:rPr>
        <w:t>Ampliamento rete SAI- Sistema di Accoglienza e Integrazione</w:t>
      </w:r>
      <w:bookmarkEnd w:id="119"/>
    </w:p>
    <w:p w14:paraId="64C31B98" w14:textId="77777777" w:rsidR="00141BA7" w:rsidRDefault="00141BA7" w:rsidP="0054531A">
      <w:pPr>
        <w:spacing w:after="80"/>
        <w:jc w:val="both"/>
        <w:rPr>
          <w:rFonts w:ascii="Bookman Old Style" w:eastAsia="Times New Roman" w:hAnsi="Bookman Old Style" w:cs="Times New Roman"/>
          <w:color w:val="000000"/>
          <w:lang w:eastAsia="it-IT"/>
        </w:rPr>
      </w:pPr>
      <w:r>
        <w:rPr>
          <w:rFonts w:ascii="Bookman Old Style" w:eastAsia="Times New Roman" w:hAnsi="Bookman Old Style" w:cs="Times New Roman"/>
          <w:i/>
          <w:iCs/>
          <w:color w:val="000000"/>
          <w:lang w:eastAsia="it-IT"/>
        </w:rPr>
        <w:t xml:space="preserve">Inserire ex novo nel testo di legge, sotto le competenze del Ministero relativamente al </w:t>
      </w:r>
      <w:r w:rsidRPr="00FD2889">
        <w:rPr>
          <w:rFonts w:ascii="Bookman Old Style" w:eastAsia="Times New Roman" w:hAnsi="Bookman Old Style" w:cs="Times New Roman"/>
          <w:i/>
          <w:iCs/>
          <w:color w:val="000000"/>
          <w:lang w:eastAsia="it-IT"/>
        </w:rPr>
        <w:t xml:space="preserve">Fondo nazionale per le politiche </w:t>
      </w:r>
      <w:r>
        <w:rPr>
          <w:rFonts w:ascii="Bookman Old Style" w:eastAsia="Times New Roman" w:hAnsi="Bookman Old Style" w:cs="Times New Roman"/>
          <w:i/>
          <w:iCs/>
          <w:color w:val="000000"/>
          <w:lang w:eastAsia="it-IT"/>
        </w:rPr>
        <w:t>e i servizi dell’asilo,</w:t>
      </w:r>
      <w:r w:rsidRPr="00FD2889">
        <w:rPr>
          <w:rFonts w:ascii="Bookman Old Style" w:eastAsia="Times New Roman" w:hAnsi="Bookman Old Style" w:cs="Times New Roman"/>
          <w:color w:val="000000"/>
          <w:lang w:eastAsia="it-IT"/>
        </w:rPr>
        <w:t xml:space="preserve"> </w:t>
      </w:r>
      <w:r>
        <w:rPr>
          <w:rFonts w:ascii="Bookman Old Style" w:eastAsia="Times New Roman" w:hAnsi="Bookman Old Style" w:cs="Times New Roman"/>
          <w:color w:val="000000"/>
          <w:lang w:eastAsia="it-IT"/>
        </w:rPr>
        <w:t>il seguente articolo:</w:t>
      </w:r>
    </w:p>
    <w:p w14:paraId="13471010" w14:textId="537012C5" w:rsidR="00141BA7" w:rsidRPr="00DB16AF" w:rsidRDefault="00141BA7" w:rsidP="00DB16AF">
      <w:pPr>
        <w:spacing w:after="80"/>
        <w:jc w:val="center"/>
        <w:rPr>
          <w:rFonts w:ascii="Bookman Old Style" w:eastAsia="Calibri" w:hAnsi="Bookman Old Style"/>
          <w:b/>
          <w:i/>
          <w:iCs/>
        </w:rPr>
      </w:pPr>
      <w:r w:rsidRPr="00DB16AF">
        <w:rPr>
          <w:rFonts w:ascii="Bookman Old Style" w:eastAsia="Times New Roman" w:hAnsi="Bookman Old Style" w:cs="Times New Roman"/>
          <w:i/>
          <w:iCs/>
          <w:color w:val="000000"/>
          <w:lang w:eastAsia="it-IT"/>
        </w:rPr>
        <w:t>Art. XX</w:t>
      </w:r>
      <w:r w:rsidR="00DB16AF" w:rsidRPr="00DB16AF">
        <w:rPr>
          <w:rFonts w:ascii="Bookman Old Style" w:eastAsia="Times New Roman" w:hAnsi="Bookman Old Style" w:cs="Times New Roman"/>
          <w:i/>
          <w:iCs/>
          <w:color w:val="000000"/>
          <w:lang w:eastAsia="it-IT"/>
        </w:rPr>
        <w:t xml:space="preserve"> </w:t>
      </w:r>
      <w:r w:rsidRPr="00DB16AF">
        <w:rPr>
          <w:rFonts w:ascii="Bookman Old Style" w:eastAsia="Times New Roman" w:hAnsi="Bookman Old Style" w:cs="Times New Roman"/>
          <w:i/>
          <w:iCs/>
          <w:color w:val="000000"/>
          <w:lang w:eastAsia="it-IT"/>
        </w:rPr>
        <w:t>(</w:t>
      </w:r>
      <w:r w:rsidRPr="00DB16AF">
        <w:rPr>
          <w:rFonts w:ascii="Bookman Old Style" w:eastAsia="Calibri" w:hAnsi="Bookman Old Style"/>
          <w:i/>
          <w:iCs/>
        </w:rPr>
        <w:t>Ampliamento rete SAI- Sistema di Accoglienza e Integrazione</w:t>
      </w:r>
      <w:r w:rsidRPr="00DB16AF">
        <w:rPr>
          <w:rFonts w:ascii="Bookman Old Style" w:eastAsia="Times New Roman" w:hAnsi="Bookman Old Style" w:cs="Times New Roman"/>
          <w:i/>
          <w:iCs/>
          <w:color w:val="000000"/>
          <w:lang w:eastAsia="it-IT"/>
        </w:rPr>
        <w:t>)</w:t>
      </w:r>
    </w:p>
    <w:p w14:paraId="39CE0C0F" w14:textId="66540759" w:rsidR="00141BA7" w:rsidRDefault="00D63B9E" w:rsidP="0054531A">
      <w:pPr>
        <w:pStyle w:val="PreformattatoHTML"/>
        <w:spacing w:after="80" w:line="259" w:lineRule="auto"/>
        <w:jc w:val="both"/>
        <w:rPr>
          <w:rFonts w:ascii="Bookman Old Style" w:eastAsia="Calibri" w:hAnsi="Bookman Old Style" w:cstheme="minorBidi"/>
          <w:sz w:val="22"/>
          <w:szCs w:val="22"/>
          <w:lang w:eastAsia="en-US"/>
        </w:rPr>
      </w:pPr>
      <w:r>
        <w:rPr>
          <w:rFonts w:ascii="Bookman Old Style" w:eastAsia="Calibri" w:hAnsi="Bookman Old Style" w:cstheme="minorBidi"/>
          <w:sz w:val="22"/>
          <w:szCs w:val="22"/>
          <w:lang w:eastAsia="en-US"/>
        </w:rPr>
        <w:t xml:space="preserve">1. </w:t>
      </w:r>
      <w:r w:rsidR="00141BA7" w:rsidRPr="00611B9B">
        <w:rPr>
          <w:rFonts w:ascii="Bookman Old Style" w:eastAsia="Calibri" w:hAnsi="Bookman Old Style" w:cstheme="minorBidi"/>
          <w:sz w:val="22"/>
          <w:szCs w:val="22"/>
          <w:lang w:eastAsia="en-US"/>
        </w:rPr>
        <w:t xml:space="preserve">Al fine di assicurare </w:t>
      </w:r>
      <w:r w:rsidR="00141BA7">
        <w:rPr>
          <w:rFonts w:ascii="Bookman Old Style" w:eastAsia="Calibri" w:hAnsi="Bookman Old Style" w:cstheme="minorBidi"/>
          <w:sz w:val="22"/>
          <w:szCs w:val="22"/>
          <w:lang w:eastAsia="en-US"/>
        </w:rPr>
        <w:t>una maggiore capacità di accoglienza</w:t>
      </w:r>
      <w:r w:rsidR="00141BA7" w:rsidRPr="00611B9B">
        <w:rPr>
          <w:rFonts w:ascii="Bookman Old Style" w:eastAsia="Calibri" w:hAnsi="Bookman Old Style" w:cstheme="minorBidi"/>
          <w:sz w:val="22"/>
          <w:szCs w:val="22"/>
          <w:lang w:eastAsia="en-US"/>
        </w:rPr>
        <w:t xml:space="preserve"> </w:t>
      </w:r>
      <w:r w:rsidR="00141BA7">
        <w:rPr>
          <w:rFonts w:ascii="Bookman Old Style" w:eastAsia="Calibri" w:hAnsi="Bookman Old Style" w:cstheme="minorBidi"/>
          <w:sz w:val="22"/>
          <w:szCs w:val="22"/>
          <w:lang w:eastAsia="en-US"/>
        </w:rPr>
        <w:t xml:space="preserve">per Minori stranieri non accompagnati </w:t>
      </w:r>
      <w:r w:rsidR="00141BA7" w:rsidRPr="00611B9B">
        <w:rPr>
          <w:rFonts w:ascii="Bookman Old Style" w:eastAsia="Calibri" w:hAnsi="Bookman Old Style" w:cstheme="minorBidi"/>
          <w:sz w:val="22"/>
          <w:szCs w:val="22"/>
          <w:lang w:eastAsia="en-US"/>
        </w:rPr>
        <w:t>del Sistema di Accoglienza Integrata SAI, il Fondo nazionale per le politiche e i servizi dell'asilo, di cui all'articolo 1-septies del decreto-legge 30 dice</w:t>
      </w:r>
      <w:r w:rsidR="00141BA7">
        <w:rPr>
          <w:rFonts w:ascii="Bookman Old Style" w:eastAsia="Calibri" w:hAnsi="Bookman Old Style" w:cstheme="minorBidi"/>
          <w:sz w:val="22"/>
          <w:szCs w:val="22"/>
          <w:lang w:eastAsia="en-US"/>
        </w:rPr>
        <w:t>m</w:t>
      </w:r>
      <w:r w:rsidR="00141BA7" w:rsidRPr="00611B9B">
        <w:rPr>
          <w:rFonts w:ascii="Bookman Old Style" w:eastAsia="Calibri" w:hAnsi="Bookman Old Style" w:cstheme="minorBidi"/>
          <w:sz w:val="22"/>
          <w:szCs w:val="22"/>
          <w:lang w:eastAsia="en-US"/>
        </w:rPr>
        <w:t xml:space="preserve">bre 1989, n. 416, convertito, con modificazioni, dalla legge 28 febbraio 1990, n. 39, </w:t>
      </w:r>
      <w:r w:rsidR="00141BA7">
        <w:rPr>
          <w:rFonts w:ascii="Bookman Old Style" w:eastAsia="Calibri" w:hAnsi="Bookman Old Style" w:cstheme="minorBidi"/>
          <w:sz w:val="22"/>
          <w:szCs w:val="22"/>
          <w:lang w:eastAsia="en-US"/>
        </w:rPr>
        <w:t>è</w:t>
      </w:r>
      <w:r w:rsidR="00141BA7" w:rsidRPr="00611B9B">
        <w:rPr>
          <w:rFonts w:ascii="Bookman Old Style" w:eastAsia="Calibri" w:hAnsi="Bookman Old Style" w:cstheme="minorBidi"/>
          <w:sz w:val="22"/>
          <w:szCs w:val="22"/>
          <w:lang w:eastAsia="en-US"/>
        </w:rPr>
        <w:t xml:space="preserve"> incrementato di </w:t>
      </w:r>
      <w:r w:rsidR="00141BA7">
        <w:rPr>
          <w:rFonts w:ascii="Bookman Old Style" w:eastAsia="Calibri" w:hAnsi="Bookman Old Style" w:cstheme="minorBidi"/>
          <w:sz w:val="22"/>
          <w:szCs w:val="22"/>
          <w:lang w:eastAsia="en-US"/>
        </w:rPr>
        <w:t>150</w:t>
      </w:r>
      <w:r w:rsidR="00141BA7" w:rsidRPr="00611B9B">
        <w:rPr>
          <w:rFonts w:ascii="Bookman Old Style" w:eastAsia="Calibri" w:hAnsi="Bookman Old Style" w:cstheme="minorBidi"/>
          <w:sz w:val="22"/>
          <w:szCs w:val="22"/>
          <w:lang w:eastAsia="en-US"/>
        </w:rPr>
        <w:t xml:space="preserve"> milioni di euro annui a decorrere dall'anno 202</w:t>
      </w:r>
      <w:r w:rsidR="00141BA7">
        <w:rPr>
          <w:rFonts w:ascii="Bookman Old Style" w:eastAsia="Calibri" w:hAnsi="Bookman Old Style" w:cstheme="minorBidi"/>
          <w:sz w:val="22"/>
          <w:szCs w:val="22"/>
          <w:lang w:eastAsia="en-US"/>
        </w:rPr>
        <w:t>3,</w:t>
      </w:r>
      <w:r w:rsidR="00141BA7" w:rsidRPr="004F46E0">
        <w:rPr>
          <w:rFonts w:ascii="Bookman Old Style" w:eastAsia="Calibri" w:hAnsi="Bookman Old Style" w:cstheme="minorBidi"/>
          <w:sz w:val="22"/>
          <w:szCs w:val="22"/>
          <w:lang w:eastAsia="en-US"/>
        </w:rPr>
        <w:t xml:space="preserve"> per un </w:t>
      </w:r>
      <w:r w:rsidR="00141BA7">
        <w:rPr>
          <w:rFonts w:ascii="Bookman Old Style" w:eastAsia="Calibri" w:hAnsi="Bookman Old Style" w:cstheme="minorBidi"/>
          <w:sz w:val="22"/>
          <w:szCs w:val="22"/>
          <w:lang w:eastAsia="en-US"/>
        </w:rPr>
        <w:t>potenziamento</w:t>
      </w:r>
      <w:r w:rsidR="00141BA7" w:rsidRPr="004F46E0">
        <w:rPr>
          <w:rFonts w:ascii="Bookman Old Style" w:eastAsia="Calibri" w:hAnsi="Bookman Old Style" w:cstheme="minorBidi"/>
          <w:sz w:val="22"/>
          <w:szCs w:val="22"/>
          <w:lang w:eastAsia="en-US"/>
        </w:rPr>
        <w:t xml:space="preserve"> della rete per minori </w:t>
      </w:r>
      <w:r w:rsidR="00141BA7">
        <w:rPr>
          <w:rFonts w:ascii="Bookman Old Style" w:eastAsia="Calibri" w:hAnsi="Bookman Old Style" w:cstheme="minorBidi"/>
          <w:sz w:val="22"/>
          <w:szCs w:val="22"/>
          <w:lang w:eastAsia="en-US"/>
        </w:rPr>
        <w:t xml:space="preserve">non accompagnati fino a </w:t>
      </w:r>
      <w:r w:rsidR="00141BA7" w:rsidRPr="004F46E0">
        <w:rPr>
          <w:rFonts w:ascii="Bookman Old Style" w:eastAsia="Calibri" w:hAnsi="Bookman Old Style" w:cstheme="minorBidi"/>
          <w:sz w:val="22"/>
          <w:szCs w:val="22"/>
          <w:lang w:eastAsia="en-US"/>
        </w:rPr>
        <w:t>4</w:t>
      </w:r>
      <w:r w:rsidR="00141BA7">
        <w:rPr>
          <w:rFonts w:ascii="Bookman Old Style" w:eastAsia="Calibri" w:hAnsi="Bookman Old Style" w:cstheme="minorBidi"/>
          <w:sz w:val="22"/>
          <w:szCs w:val="22"/>
          <w:lang w:eastAsia="en-US"/>
        </w:rPr>
        <w:t>.</w:t>
      </w:r>
      <w:r w:rsidR="00141BA7" w:rsidRPr="004F46E0">
        <w:rPr>
          <w:rFonts w:ascii="Bookman Old Style" w:eastAsia="Calibri" w:hAnsi="Bookman Old Style" w:cstheme="minorBidi"/>
          <w:sz w:val="22"/>
          <w:szCs w:val="22"/>
          <w:lang w:eastAsia="en-US"/>
        </w:rPr>
        <w:t>000 posti</w:t>
      </w:r>
      <w:r w:rsidR="00141BA7" w:rsidRPr="00611B9B">
        <w:rPr>
          <w:rFonts w:ascii="Bookman Old Style" w:eastAsia="Calibri" w:hAnsi="Bookman Old Style" w:cstheme="minorBidi"/>
          <w:sz w:val="22"/>
          <w:szCs w:val="22"/>
          <w:lang w:eastAsia="en-US"/>
        </w:rPr>
        <w:t xml:space="preserve">. </w:t>
      </w:r>
    </w:p>
    <w:p w14:paraId="3047C081" w14:textId="77777777" w:rsidR="00141BA7" w:rsidRPr="00A20489" w:rsidRDefault="00141BA7" w:rsidP="0054531A">
      <w:pPr>
        <w:autoSpaceDE w:val="0"/>
        <w:autoSpaceDN w:val="0"/>
        <w:spacing w:after="80"/>
        <w:jc w:val="center"/>
        <w:rPr>
          <w:rFonts w:ascii="Bookman Old Style" w:hAnsi="Bookman Old Style"/>
          <w:b/>
          <w:bCs/>
          <w:color w:val="000000"/>
        </w:rPr>
      </w:pPr>
      <w:r w:rsidRPr="00A20489">
        <w:rPr>
          <w:rFonts w:ascii="Bookman Old Style" w:hAnsi="Bookman Old Style"/>
          <w:b/>
          <w:bCs/>
          <w:color w:val="000000"/>
        </w:rPr>
        <w:t>Motivazione</w:t>
      </w:r>
    </w:p>
    <w:p w14:paraId="390D587A" w14:textId="715A5246" w:rsidR="00141BA7" w:rsidRDefault="00141BA7" w:rsidP="0054531A">
      <w:pPr>
        <w:spacing w:after="80"/>
        <w:jc w:val="both"/>
        <w:rPr>
          <w:rFonts w:ascii="Bookman Old Style" w:eastAsia="Times New Roman" w:hAnsi="Bookman Old Style"/>
          <w:i/>
          <w:iCs/>
        </w:rPr>
      </w:pPr>
      <w:r>
        <w:rPr>
          <w:rFonts w:ascii="Bookman Old Style" w:eastAsia="Times New Roman" w:hAnsi="Bookman Old Style"/>
          <w:i/>
          <w:iCs/>
        </w:rPr>
        <w:t xml:space="preserve">A partire dalla primavera del 2021, si è assistito a un incremento significativo di segnalazioni da parte di un numero crescente di Comuni, in difficoltà nella gestione e nella presa in carico dei minori stranieri non accompagnati, </w:t>
      </w:r>
      <w:r>
        <w:rPr>
          <w:rFonts w:ascii="Bookman Old Style" w:hAnsi="Bookman Old Style" w:cs="Segoe UI"/>
          <w:i/>
          <w:iCs/>
        </w:rPr>
        <w:t xml:space="preserve">con forti concentrazioni di numeri in alcuni territori, in particolare città medie e metropolitane del centro-nord. Secondo i dati del Ministero del Lavoro, alla data del 30 settembre 2022, i MSNA presenti sul nostro territorio risultano essere 18.801, a fronte di una capienza della rete SAI che </w:t>
      </w:r>
      <w:r>
        <w:rPr>
          <w:rFonts w:ascii="Bookman Old Style" w:hAnsi="Bookman Old Style" w:cs="Courier New"/>
          <w:i/>
          <w:iCs/>
        </w:rPr>
        <w:t>conta 6618 posti di accoglienza finanziati dedicati ai MSNA in 235 progetti.</w:t>
      </w:r>
      <w:r w:rsidR="00DB16AF">
        <w:rPr>
          <w:rFonts w:ascii="Bookman Old Style" w:hAnsi="Bookman Old Style" w:cs="Courier New"/>
          <w:i/>
          <w:iCs/>
        </w:rPr>
        <w:t xml:space="preserve"> </w:t>
      </w:r>
      <w:r>
        <w:rPr>
          <w:rFonts w:ascii="Bookman Old Style" w:eastAsia="Times New Roman" w:hAnsi="Bookman Old Style"/>
          <w:i/>
          <w:iCs/>
        </w:rPr>
        <w:t>L’art. 19 del decreto legislativo 142/2015 prevede che tutti i MSNA non accompagnati siano accolti nell’ambito del SAI</w:t>
      </w:r>
      <w:r>
        <w:rPr>
          <w:rFonts w:ascii="Arial" w:hAnsi="Arial" w:cs="Arial"/>
          <w:color w:val="212121"/>
          <w:sz w:val="27"/>
          <w:szCs w:val="27"/>
          <w:shd w:val="clear" w:color="auto" w:fill="F5F5F5"/>
        </w:rPr>
        <w:t xml:space="preserve">, </w:t>
      </w:r>
      <w:r w:rsidRPr="00303690">
        <w:rPr>
          <w:rFonts w:ascii="Bookman Old Style" w:eastAsia="Times New Roman" w:hAnsi="Bookman Old Style"/>
          <w:i/>
          <w:iCs/>
        </w:rPr>
        <w:t>la cui capienza deve essere pertanto commisurata alle effettive presenze di minori stranieri nel territorio nazionale</w:t>
      </w:r>
      <w:r>
        <w:rPr>
          <w:rFonts w:ascii="Bookman Old Style" w:eastAsia="Times New Roman" w:hAnsi="Bookman Old Style"/>
          <w:i/>
          <w:iCs/>
        </w:rPr>
        <w:t xml:space="preserve">. </w:t>
      </w:r>
    </w:p>
    <w:p w14:paraId="61C96999" w14:textId="04DB9F0B" w:rsidR="00141BA7" w:rsidRDefault="00141BA7" w:rsidP="0004302E">
      <w:pPr>
        <w:spacing w:after="80"/>
        <w:jc w:val="both"/>
        <w:rPr>
          <w:rFonts w:ascii="Bookman Old Style" w:eastAsia="Calibri" w:hAnsi="Bookman Old Style"/>
          <w:i/>
          <w:iCs/>
        </w:rPr>
      </w:pPr>
      <w:r>
        <w:rPr>
          <w:rFonts w:ascii="Bookman Old Style" w:eastAsia="Times New Roman" w:hAnsi="Bookman Old Style"/>
          <w:i/>
          <w:iCs/>
        </w:rPr>
        <w:t xml:space="preserve">Si rende pertanto necessario un ampliamento della capienza della rete SAI che avvicini quantomeno la disponibilità di posti destinati ai MSNA alle esigenze poste dal costante incremento del fenomeno e che consenta, grazie al coinvolgimento di nuovi Comuni nella rete, di distribuire le presenze sul territorio nazionale e allentare la pressione e il carico sui territori che oggi registrano maggiori concentrazioni. </w:t>
      </w:r>
      <w:r>
        <w:rPr>
          <w:rFonts w:ascii="Bookman Old Style" w:eastAsia="Calibri" w:hAnsi="Bookman Old Style"/>
          <w:i/>
          <w:iCs/>
        </w:rPr>
        <w:t xml:space="preserve">Il presente emendamento consente, a fronte dei posti già finanziati nel Sistema SAI, di procedere ad un incremento della rete fino a 4000 posti. </w:t>
      </w:r>
    </w:p>
    <w:p w14:paraId="3820133D" w14:textId="0C81640D" w:rsidR="0029427E" w:rsidRPr="00A20489" w:rsidRDefault="0029427E" w:rsidP="00321948">
      <w:pPr>
        <w:pStyle w:val="Titolo1"/>
        <w:spacing w:before="0" w:after="80"/>
        <w:rPr>
          <w:rFonts w:ascii="Bookman Old Style" w:hAnsi="Bookman Old Style"/>
          <w:b/>
          <w:bCs/>
          <w:sz w:val="22"/>
          <w:szCs w:val="22"/>
        </w:rPr>
      </w:pPr>
      <w:bookmarkStart w:id="120" w:name="_Toc121214327"/>
      <w:r w:rsidRPr="00A20489">
        <w:rPr>
          <w:rFonts w:ascii="Bookman Old Style" w:hAnsi="Bookman Old Style"/>
          <w:b/>
          <w:bCs/>
          <w:sz w:val="22"/>
          <w:szCs w:val="22"/>
        </w:rPr>
        <w:t>WELFARE</w:t>
      </w:r>
      <w:bookmarkEnd w:id="120"/>
    </w:p>
    <w:p w14:paraId="323D80B7" w14:textId="75C8D8FB" w:rsidR="0029427E" w:rsidRPr="00A104E9" w:rsidRDefault="0029427E"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21" w:name="_Toc121214328"/>
      <w:r w:rsidRPr="00A104E9">
        <w:rPr>
          <w:rFonts w:ascii="Bookman Old Style" w:hAnsi="Bookman Old Style"/>
          <w:b/>
          <w:bCs/>
          <w:color w:val="2F5496" w:themeColor="accent1" w:themeShade="BF"/>
          <w:sz w:val="22"/>
          <w:szCs w:val="22"/>
        </w:rPr>
        <w:t xml:space="preserve">Ampliamento ambito di utilizzo del Fondo </w:t>
      </w:r>
      <w:r w:rsidR="00244D9B" w:rsidRPr="00A104E9">
        <w:rPr>
          <w:rFonts w:ascii="Bookman Old Style" w:hAnsi="Bookman Old Style"/>
          <w:b/>
          <w:bCs/>
          <w:color w:val="2F5496" w:themeColor="accent1" w:themeShade="BF"/>
          <w:sz w:val="22"/>
          <w:szCs w:val="22"/>
        </w:rPr>
        <w:t xml:space="preserve">per la </w:t>
      </w:r>
      <w:r w:rsidR="004A2D23" w:rsidRPr="00A104E9">
        <w:rPr>
          <w:rFonts w:ascii="Bookman Old Style" w:hAnsi="Bookman Old Style"/>
          <w:b/>
          <w:bCs/>
          <w:color w:val="2F5496" w:themeColor="accent1" w:themeShade="BF"/>
          <w:sz w:val="22"/>
          <w:szCs w:val="22"/>
        </w:rPr>
        <w:t>l</w:t>
      </w:r>
      <w:r w:rsidR="00244D9B" w:rsidRPr="00A104E9">
        <w:rPr>
          <w:rFonts w:ascii="Bookman Old Style" w:hAnsi="Bookman Old Style"/>
          <w:b/>
          <w:bCs/>
          <w:color w:val="2F5496" w:themeColor="accent1" w:themeShade="BF"/>
          <w:sz w:val="22"/>
          <w:szCs w:val="22"/>
        </w:rPr>
        <w:t>otta alla p</w:t>
      </w:r>
      <w:r w:rsidRPr="00A104E9">
        <w:rPr>
          <w:rFonts w:ascii="Bookman Old Style" w:hAnsi="Bookman Old Style"/>
          <w:b/>
          <w:bCs/>
          <w:color w:val="2F5496" w:themeColor="accent1" w:themeShade="BF"/>
          <w:sz w:val="22"/>
          <w:szCs w:val="22"/>
        </w:rPr>
        <w:t>overtà</w:t>
      </w:r>
      <w:r w:rsidR="00244D9B" w:rsidRPr="00A104E9">
        <w:rPr>
          <w:rFonts w:ascii="Bookman Old Style" w:hAnsi="Bookman Old Style"/>
          <w:b/>
          <w:bCs/>
          <w:color w:val="2F5496" w:themeColor="accent1" w:themeShade="BF"/>
          <w:sz w:val="22"/>
          <w:szCs w:val="22"/>
        </w:rPr>
        <w:t xml:space="preserve"> e a</w:t>
      </w:r>
      <w:r w:rsidR="004A2D23" w:rsidRPr="00A104E9">
        <w:rPr>
          <w:rFonts w:ascii="Bookman Old Style" w:hAnsi="Bookman Old Style"/>
          <w:b/>
          <w:bCs/>
          <w:color w:val="2F5496" w:themeColor="accent1" w:themeShade="BF"/>
          <w:sz w:val="22"/>
          <w:szCs w:val="22"/>
        </w:rPr>
        <w:t>l</w:t>
      </w:r>
      <w:r w:rsidR="00244D9B" w:rsidRPr="00A104E9">
        <w:rPr>
          <w:rFonts w:ascii="Bookman Old Style" w:hAnsi="Bookman Old Style"/>
          <w:b/>
          <w:bCs/>
          <w:color w:val="2F5496" w:themeColor="accent1" w:themeShade="BF"/>
          <w:sz w:val="22"/>
          <w:szCs w:val="22"/>
        </w:rPr>
        <w:t>l’esclusione sociale</w:t>
      </w:r>
      <w:bookmarkEnd w:id="121"/>
    </w:p>
    <w:p w14:paraId="05EE39D7" w14:textId="4AF0BC5E" w:rsidR="00DB16AF" w:rsidRPr="00A20489" w:rsidRDefault="00DB16AF" w:rsidP="00DB16AF">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Dopo l’art. 63 aggiungere il seguente art. 63</w:t>
      </w:r>
      <w:r>
        <w:rPr>
          <w:rFonts w:ascii="Bookman Old Style" w:hAnsi="Bookman Old Style"/>
          <w:i/>
          <w:iCs/>
          <w:sz w:val="22"/>
          <w:szCs w:val="22"/>
        </w:rPr>
        <w:t>-</w:t>
      </w:r>
      <w:r w:rsidRPr="00A20489">
        <w:rPr>
          <w:rFonts w:ascii="Bookman Old Style" w:hAnsi="Bookman Old Style"/>
          <w:i/>
          <w:iCs/>
          <w:sz w:val="22"/>
          <w:szCs w:val="22"/>
        </w:rPr>
        <w:t>bis</w:t>
      </w:r>
      <w:r>
        <w:rPr>
          <w:rFonts w:ascii="Bookman Old Style" w:hAnsi="Bookman Old Style"/>
          <w:i/>
          <w:iCs/>
          <w:sz w:val="22"/>
          <w:szCs w:val="22"/>
        </w:rPr>
        <w:t>:</w:t>
      </w:r>
    </w:p>
    <w:p w14:paraId="338A9068" w14:textId="449AD0EE" w:rsidR="00DB16AF" w:rsidRPr="00A20489" w:rsidRDefault="00DB16AF" w:rsidP="00B02B2E">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rt. 63</w:t>
      </w:r>
      <w:r>
        <w:rPr>
          <w:rFonts w:ascii="Bookman Old Style" w:hAnsi="Bookman Old Style"/>
          <w:i/>
          <w:iCs/>
          <w:sz w:val="22"/>
          <w:szCs w:val="22"/>
        </w:rPr>
        <w:t>-</w:t>
      </w:r>
      <w:r w:rsidRPr="00A20489">
        <w:rPr>
          <w:rFonts w:ascii="Bookman Old Style" w:hAnsi="Bookman Old Style"/>
          <w:i/>
          <w:iCs/>
          <w:sz w:val="22"/>
          <w:szCs w:val="22"/>
        </w:rPr>
        <w:t>bis</w:t>
      </w:r>
      <w:r w:rsidR="00B02B2E">
        <w:rPr>
          <w:rFonts w:ascii="Bookman Old Style" w:hAnsi="Bookman Old Style"/>
          <w:i/>
          <w:iCs/>
          <w:sz w:val="22"/>
          <w:szCs w:val="22"/>
        </w:rPr>
        <w:t xml:space="preserve"> (Ampliamento utilizzi Fondo per la lotta alla povertà e all’esclusione sociale)</w:t>
      </w:r>
    </w:p>
    <w:p w14:paraId="0E065D74" w14:textId="057DB673" w:rsidR="0029427E" w:rsidRPr="00A20489" w:rsidRDefault="00DB16AF" w:rsidP="00321948">
      <w:pPr>
        <w:pStyle w:val="Testonormale"/>
        <w:spacing w:after="80" w:line="259" w:lineRule="auto"/>
        <w:jc w:val="both"/>
        <w:rPr>
          <w:rFonts w:ascii="Bookman Old Style" w:hAnsi="Bookman Old Style"/>
          <w:iCs/>
          <w:szCs w:val="22"/>
        </w:rPr>
      </w:pPr>
      <w:r>
        <w:rPr>
          <w:rFonts w:ascii="Bookman Old Style" w:hAnsi="Bookman Old Style"/>
          <w:iCs/>
          <w:szCs w:val="22"/>
        </w:rPr>
        <w:t xml:space="preserve">1. </w:t>
      </w:r>
      <w:r w:rsidR="0029427E" w:rsidRPr="00A20489">
        <w:rPr>
          <w:rFonts w:ascii="Bookman Old Style" w:hAnsi="Bookman Old Style"/>
          <w:iCs/>
          <w:szCs w:val="22"/>
        </w:rPr>
        <w:t>Al fine di rafforzare la capacità di risposta per persone e nuclei familiari in condizione di povertà maggiormente esposti agli effetti della crisi socioeconomica conseguente all’emergenza pandemica e alla crisi energetica, all’articolo 7, del decreto legislativo 15 settembre 2017, n. 147, dopo il comma 2, è aggiunto il seguente:</w:t>
      </w:r>
    </w:p>
    <w:p w14:paraId="06FA4C81" w14:textId="37245B60" w:rsidR="0029427E" w:rsidRPr="00A20489" w:rsidRDefault="0029427E" w:rsidP="00B02B2E">
      <w:pPr>
        <w:spacing w:after="80"/>
        <w:ind w:left="142"/>
        <w:jc w:val="both"/>
        <w:rPr>
          <w:rFonts w:ascii="Bookman Old Style" w:hAnsi="Bookman Old Style"/>
          <w:iCs/>
        </w:rPr>
      </w:pPr>
      <w:r w:rsidRPr="00A20489">
        <w:rPr>
          <w:rFonts w:ascii="Bookman Old Style" w:hAnsi="Bookman Old Style"/>
          <w:iCs/>
        </w:rPr>
        <w:t xml:space="preserve">“2-bis. Gli interventi e i servizi di cui al comma 1, finanziati con le risorse del Fondo </w:t>
      </w:r>
      <w:r w:rsidR="004A2D23">
        <w:rPr>
          <w:rFonts w:ascii="Bookman Old Style" w:hAnsi="Bookman Old Style"/>
          <w:iCs/>
        </w:rPr>
        <w:t xml:space="preserve">per la lotta alla </w:t>
      </w:r>
      <w:r w:rsidRPr="00A20489">
        <w:rPr>
          <w:rFonts w:ascii="Bookman Old Style" w:hAnsi="Bookman Old Style"/>
          <w:iCs/>
        </w:rPr>
        <w:t xml:space="preserve">povertà </w:t>
      </w:r>
      <w:r w:rsidR="004A2D23">
        <w:rPr>
          <w:rFonts w:ascii="Bookman Old Style" w:hAnsi="Bookman Old Style"/>
          <w:iCs/>
        </w:rPr>
        <w:t xml:space="preserve">e all’esclusione sociale </w:t>
      </w:r>
      <w:r w:rsidRPr="00A20489">
        <w:rPr>
          <w:rFonts w:ascii="Bookman Old Style" w:hAnsi="Bookman Old Style"/>
          <w:iCs/>
        </w:rPr>
        <w:t xml:space="preserve">ai sensi del comma precedente, oltre che ai beneficiari del Reddito di cittadinanza possono essere rivolti ad altre persone o nuclei familiari in condizioni di povertà, che presentino un valore dell’Indicatore della situazione economica equivalente (ISEE) inferiore alla soglia applicata per l’accesso al Reddito di cittadinanza, di cui all’articolo 2, comma 1, lettera b) punto 1), o per i quali i Servizi Sociali abbiano accertato una condizione di indigenza.” </w:t>
      </w:r>
    </w:p>
    <w:p w14:paraId="4B559427" w14:textId="2EA2D9B2" w:rsidR="0029427E" w:rsidRPr="00A20489" w:rsidRDefault="0029427E" w:rsidP="00321948">
      <w:pPr>
        <w:spacing w:after="80"/>
        <w:jc w:val="center"/>
        <w:rPr>
          <w:rFonts w:ascii="Bookman Old Style" w:hAnsi="Bookman Old Style"/>
          <w:b/>
          <w:i/>
          <w:iCs/>
        </w:rPr>
      </w:pPr>
      <w:r w:rsidRPr="00A20489">
        <w:rPr>
          <w:rFonts w:ascii="Bookman Old Style" w:hAnsi="Bookman Old Style"/>
          <w:b/>
        </w:rPr>
        <w:t>Motivazione</w:t>
      </w:r>
    </w:p>
    <w:p w14:paraId="2D218B37" w14:textId="2AD56A1A" w:rsidR="0029427E" w:rsidRPr="00A20489" w:rsidRDefault="0029427E" w:rsidP="00321948">
      <w:pPr>
        <w:spacing w:after="80"/>
        <w:jc w:val="both"/>
        <w:rPr>
          <w:rFonts w:ascii="Bookman Old Style" w:hAnsi="Bookman Old Style"/>
          <w:i/>
          <w:iCs/>
        </w:rPr>
      </w:pPr>
      <w:r w:rsidRPr="00A20489">
        <w:rPr>
          <w:rFonts w:ascii="Bookman Old Style" w:hAnsi="Bookman Old Style"/>
          <w:i/>
          <w:iCs/>
        </w:rPr>
        <w:t xml:space="preserve">In considerazione delle ricadute sociali ed economiche generate dell'emergenza pandemica e dalla crisi energetica, la proposta emendativa è finalizzata ad includere negli interventi di contrasto alla povertà finanziati attraverso il Fondo Povertà, persone e famiglie che, pur in condizioni di estrema povertà, spesso equivalenti a quelle dei beneficiari </w:t>
      </w:r>
      <w:r w:rsidR="00ED3F43">
        <w:rPr>
          <w:rFonts w:ascii="Bookman Old Style" w:hAnsi="Bookman Old Style"/>
          <w:i/>
          <w:iCs/>
        </w:rPr>
        <w:t>del reddito di cittadinanza</w:t>
      </w:r>
      <w:r w:rsidRPr="00A20489">
        <w:rPr>
          <w:rFonts w:ascii="Bookman Old Style" w:hAnsi="Bookman Old Style"/>
          <w:i/>
          <w:iCs/>
        </w:rPr>
        <w:t xml:space="preserve">, mancano di requisiti formali per beneficiare del </w:t>
      </w:r>
      <w:r w:rsidR="00A229CA">
        <w:rPr>
          <w:rFonts w:ascii="Bookman Old Style" w:hAnsi="Bookman Old Style"/>
          <w:i/>
          <w:iCs/>
        </w:rPr>
        <w:t xml:space="preserve">RdC </w:t>
      </w:r>
      <w:r w:rsidRPr="00A20489">
        <w:rPr>
          <w:rFonts w:ascii="Bookman Old Style" w:hAnsi="Bookman Old Style"/>
          <w:i/>
          <w:iCs/>
        </w:rPr>
        <w:t>e degli interventi ad esso connessi</w:t>
      </w:r>
      <w:r w:rsidR="0056724F" w:rsidRPr="00A20489">
        <w:rPr>
          <w:rFonts w:ascii="Bookman Old Style" w:hAnsi="Bookman Old Style"/>
          <w:i/>
          <w:iCs/>
        </w:rPr>
        <w:t>.</w:t>
      </w:r>
    </w:p>
    <w:p w14:paraId="7AE677CC" w14:textId="77777777" w:rsidR="0029427E" w:rsidRPr="00A20489" w:rsidRDefault="0029427E" w:rsidP="00177051">
      <w:pPr>
        <w:spacing w:after="0"/>
        <w:jc w:val="both"/>
        <w:rPr>
          <w:rFonts w:ascii="Bookman Old Style" w:hAnsi="Bookman Old Style"/>
        </w:rPr>
      </w:pPr>
    </w:p>
    <w:p w14:paraId="768EBD80" w14:textId="236608BB" w:rsidR="0029427E" w:rsidRPr="00A104E9" w:rsidRDefault="0029427E"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22" w:name="_Toc121214329"/>
      <w:r w:rsidRPr="00A104E9">
        <w:rPr>
          <w:rFonts w:ascii="Bookman Old Style" w:hAnsi="Bookman Old Style"/>
          <w:b/>
          <w:bCs/>
          <w:color w:val="2F5496" w:themeColor="accent1" w:themeShade="BF"/>
          <w:sz w:val="22"/>
          <w:szCs w:val="22"/>
        </w:rPr>
        <w:t>RDC: abrogazione danno erariale per responsabile del procedimento del comune</w:t>
      </w:r>
      <w:bookmarkEnd w:id="122"/>
    </w:p>
    <w:p w14:paraId="51F11953" w14:textId="4657A923" w:rsidR="00B428BE" w:rsidRPr="00A20489" w:rsidRDefault="00B428BE" w:rsidP="00B428BE">
      <w:pPr>
        <w:pStyle w:val="PreformattatoHTML"/>
        <w:shd w:val="clear" w:color="auto" w:fill="FFFFFF"/>
        <w:spacing w:after="80" w:line="259" w:lineRule="auto"/>
        <w:jc w:val="both"/>
        <w:rPr>
          <w:rFonts w:ascii="Bookman Old Style" w:hAnsi="Bookman Old Style"/>
          <w:i/>
          <w:iCs/>
          <w:sz w:val="22"/>
          <w:szCs w:val="22"/>
        </w:rPr>
      </w:pPr>
      <w:r w:rsidRPr="00A20489">
        <w:rPr>
          <w:rFonts w:ascii="Bookman Old Style" w:hAnsi="Bookman Old Style"/>
          <w:i/>
          <w:iCs/>
          <w:sz w:val="22"/>
          <w:szCs w:val="22"/>
        </w:rPr>
        <w:t xml:space="preserve">Dopo l’art. </w:t>
      </w:r>
      <w:r w:rsidR="00247568" w:rsidRPr="00A20489">
        <w:rPr>
          <w:rFonts w:ascii="Bookman Old Style" w:hAnsi="Bookman Old Style"/>
          <w:i/>
          <w:iCs/>
          <w:sz w:val="22"/>
          <w:szCs w:val="22"/>
        </w:rPr>
        <w:t>63</w:t>
      </w:r>
      <w:r w:rsidRPr="00A20489">
        <w:rPr>
          <w:rFonts w:ascii="Bookman Old Style" w:hAnsi="Bookman Old Style"/>
          <w:i/>
          <w:iCs/>
          <w:sz w:val="22"/>
          <w:szCs w:val="22"/>
        </w:rPr>
        <w:t xml:space="preserve"> aggiungere il seguente art. </w:t>
      </w:r>
      <w:r w:rsidR="00247568" w:rsidRPr="00A20489">
        <w:rPr>
          <w:rFonts w:ascii="Bookman Old Style" w:hAnsi="Bookman Old Style"/>
          <w:i/>
          <w:iCs/>
          <w:sz w:val="22"/>
          <w:szCs w:val="22"/>
        </w:rPr>
        <w:t>63</w:t>
      </w:r>
      <w:r w:rsidR="00901A9A">
        <w:rPr>
          <w:rFonts w:ascii="Bookman Old Style" w:hAnsi="Bookman Old Style"/>
          <w:i/>
          <w:iCs/>
          <w:sz w:val="22"/>
          <w:szCs w:val="22"/>
        </w:rPr>
        <w:t xml:space="preserve"> </w:t>
      </w:r>
      <w:r w:rsidRPr="00A20489">
        <w:rPr>
          <w:rFonts w:ascii="Bookman Old Style" w:hAnsi="Bookman Old Style"/>
          <w:i/>
          <w:iCs/>
          <w:sz w:val="22"/>
          <w:szCs w:val="22"/>
        </w:rPr>
        <w:t>bis</w:t>
      </w:r>
    </w:p>
    <w:p w14:paraId="25629B01" w14:textId="4D517D05" w:rsidR="00A229CA" w:rsidRPr="00A20489" w:rsidRDefault="00A229CA" w:rsidP="00A229CA">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rt. 63</w:t>
      </w:r>
      <w:r>
        <w:rPr>
          <w:rFonts w:ascii="Bookman Old Style" w:hAnsi="Bookman Old Style"/>
          <w:i/>
          <w:iCs/>
          <w:sz w:val="22"/>
          <w:szCs w:val="22"/>
        </w:rPr>
        <w:t>-</w:t>
      </w:r>
      <w:r w:rsidRPr="00A20489">
        <w:rPr>
          <w:rFonts w:ascii="Bookman Old Style" w:hAnsi="Bookman Old Style"/>
          <w:i/>
          <w:iCs/>
          <w:sz w:val="22"/>
          <w:szCs w:val="22"/>
        </w:rPr>
        <w:t>bis</w:t>
      </w:r>
      <w:r>
        <w:rPr>
          <w:rFonts w:ascii="Bookman Old Style" w:hAnsi="Bookman Old Style"/>
          <w:i/>
          <w:iCs/>
          <w:sz w:val="22"/>
          <w:szCs w:val="22"/>
        </w:rPr>
        <w:t xml:space="preserve"> (Responsabilit</w:t>
      </w:r>
      <w:r w:rsidR="00FF5856">
        <w:rPr>
          <w:rFonts w:ascii="Bookman Old Style" w:hAnsi="Bookman Old Style"/>
          <w:i/>
          <w:iCs/>
          <w:sz w:val="22"/>
          <w:szCs w:val="22"/>
        </w:rPr>
        <w:t>à erarriale in capo ai funzionari comunali</w:t>
      </w:r>
      <w:r>
        <w:rPr>
          <w:rFonts w:ascii="Bookman Old Style" w:hAnsi="Bookman Old Style"/>
          <w:i/>
          <w:iCs/>
          <w:sz w:val="22"/>
          <w:szCs w:val="22"/>
        </w:rPr>
        <w:t>)</w:t>
      </w:r>
    </w:p>
    <w:p w14:paraId="5D08C305" w14:textId="73D1031C" w:rsidR="0029427E" w:rsidRPr="00A20489" w:rsidRDefault="00FF5856" w:rsidP="00321948">
      <w:pPr>
        <w:spacing w:after="80"/>
        <w:jc w:val="both"/>
        <w:rPr>
          <w:rFonts w:ascii="Bookman Old Style" w:hAnsi="Bookman Old Style"/>
          <w:iCs/>
        </w:rPr>
      </w:pPr>
      <w:r>
        <w:rPr>
          <w:rFonts w:ascii="Bookman Old Style" w:hAnsi="Bookman Old Style"/>
          <w:iCs/>
        </w:rPr>
        <w:t xml:space="preserve">1. </w:t>
      </w:r>
      <w:r w:rsidR="0029427E" w:rsidRPr="00A20489">
        <w:rPr>
          <w:rFonts w:ascii="Bookman Old Style" w:hAnsi="Bookman Old Style"/>
          <w:iCs/>
        </w:rPr>
        <w:t xml:space="preserve">All’articolo 5 del </w:t>
      </w:r>
      <w:r w:rsidR="00193A0E" w:rsidRPr="00A20489">
        <w:rPr>
          <w:rFonts w:ascii="Bookman Old Style" w:hAnsi="Bookman Old Style"/>
          <w:iCs/>
        </w:rPr>
        <w:t>decreto-legge 28 gennaio 2019, n. 4</w:t>
      </w:r>
      <w:r w:rsidR="0029427E" w:rsidRPr="00A20489">
        <w:rPr>
          <w:rFonts w:ascii="Bookman Old Style" w:hAnsi="Bookman Old Style"/>
          <w:iCs/>
        </w:rPr>
        <w:t xml:space="preserve"> convertito con modificazioni dalla L. 28 marzo 2019, n. 26 recante “Disposizioni urgenti in materia di reddito di cittadinanza e di pensioni”</w:t>
      </w:r>
      <w:r>
        <w:rPr>
          <w:rFonts w:ascii="Bookman Old Style" w:hAnsi="Bookman Old Style"/>
          <w:iCs/>
        </w:rPr>
        <w:t>,</w:t>
      </w:r>
      <w:r w:rsidR="0029427E" w:rsidRPr="00A20489">
        <w:rPr>
          <w:rFonts w:ascii="Bookman Old Style" w:hAnsi="Bookman Old Style"/>
          <w:iCs/>
        </w:rPr>
        <w:t xml:space="preserve"> sopprimere l’ultimo periodo del comma 4</w:t>
      </w:r>
      <w:r>
        <w:rPr>
          <w:rFonts w:ascii="Bookman Old Style" w:hAnsi="Bookman Old Style"/>
          <w:iCs/>
        </w:rPr>
        <w:t>-</w:t>
      </w:r>
      <w:r w:rsidR="0029427E" w:rsidRPr="00A20489">
        <w:rPr>
          <w:rFonts w:ascii="Bookman Old Style" w:hAnsi="Bookman Old Style"/>
          <w:iCs/>
        </w:rPr>
        <w:t>quater.</w:t>
      </w:r>
    </w:p>
    <w:p w14:paraId="342E89D5" w14:textId="77777777" w:rsidR="0029427E" w:rsidRPr="00A20489" w:rsidRDefault="0029427E" w:rsidP="00321948">
      <w:pPr>
        <w:spacing w:after="80"/>
        <w:jc w:val="center"/>
        <w:rPr>
          <w:rFonts w:ascii="Bookman Old Style" w:hAnsi="Bookman Old Style"/>
          <w:b/>
          <w:bCs/>
        </w:rPr>
      </w:pPr>
      <w:r w:rsidRPr="00A20489">
        <w:rPr>
          <w:rFonts w:ascii="Bookman Old Style" w:hAnsi="Bookman Old Style"/>
          <w:b/>
          <w:bCs/>
        </w:rPr>
        <w:t>Motivazione</w:t>
      </w:r>
    </w:p>
    <w:p w14:paraId="786A833F" w14:textId="3CC7B0C0" w:rsidR="0029427E" w:rsidRDefault="0029427E" w:rsidP="00321948">
      <w:pPr>
        <w:spacing w:after="80"/>
        <w:jc w:val="both"/>
        <w:rPr>
          <w:rFonts w:ascii="Bookman Old Style" w:eastAsia="Calibri" w:hAnsi="Bookman Old Style" w:cs="Times New Roman"/>
          <w:i/>
        </w:rPr>
      </w:pPr>
      <w:r w:rsidRPr="00A20489">
        <w:rPr>
          <w:rFonts w:ascii="Bookman Old Style" w:eastAsia="Calibri" w:hAnsi="Bookman Old Style" w:cs="Times New Roman"/>
          <w:i/>
        </w:rPr>
        <w:t>L’emendamento si propone di abrogare la responsabilità per danno erariale in quanto misura eccessiva rispetto all’intera procedura.</w:t>
      </w:r>
    </w:p>
    <w:p w14:paraId="53D47F41" w14:textId="1A22C1B9" w:rsidR="00916966" w:rsidRDefault="00916966" w:rsidP="00177051">
      <w:pPr>
        <w:spacing w:after="0"/>
        <w:jc w:val="both"/>
        <w:rPr>
          <w:rFonts w:ascii="Bookman Old Style" w:eastAsia="Calibri" w:hAnsi="Bookman Old Style" w:cs="Times New Roman"/>
          <w:i/>
        </w:rPr>
      </w:pPr>
    </w:p>
    <w:p w14:paraId="27FAB559" w14:textId="17F93A4F" w:rsidR="00916966" w:rsidRPr="00A104E9" w:rsidRDefault="00916966"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23" w:name="_Toc121214330"/>
      <w:r w:rsidRPr="00A104E9">
        <w:rPr>
          <w:rFonts w:ascii="Bookman Old Style" w:hAnsi="Bookman Old Style"/>
          <w:b/>
          <w:bCs/>
          <w:color w:val="2F5496" w:themeColor="accent1" w:themeShade="BF"/>
          <w:sz w:val="22"/>
          <w:szCs w:val="22"/>
        </w:rPr>
        <w:t>Progetti Utili alla Collettività</w:t>
      </w:r>
      <w:r w:rsidR="00842E4A">
        <w:rPr>
          <w:rFonts w:ascii="Bookman Old Style" w:hAnsi="Bookman Old Style"/>
          <w:b/>
          <w:bCs/>
          <w:color w:val="2F5496" w:themeColor="accent1" w:themeShade="BF"/>
          <w:sz w:val="22"/>
          <w:szCs w:val="22"/>
        </w:rPr>
        <w:t xml:space="preserve"> (art. 59)</w:t>
      </w:r>
      <w:bookmarkEnd w:id="123"/>
    </w:p>
    <w:p w14:paraId="580BE388" w14:textId="2AA99914" w:rsidR="00916966" w:rsidRPr="00842E4A" w:rsidRDefault="00916966" w:rsidP="00842E4A">
      <w:pPr>
        <w:spacing w:after="80"/>
        <w:jc w:val="both"/>
        <w:rPr>
          <w:rFonts w:ascii="Bookman Old Style" w:eastAsia="Calibri" w:hAnsi="Bookman Old Style" w:cs="Times New Roman"/>
          <w:i/>
        </w:rPr>
      </w:pPr>
      <w:r w:rsidRPr="00842E4A">
        <w:rPr>
          <w:rFonts w:ascii="Bookman Old Style" w:eastAsia="Calibri" w:hAnsi="Bookman Old Style" w:cs="Times New Roman"/>
          <w:i/>
        </w:rPr>
        <w:t>All’articolo 59 (Disposizioni di riordino delle misure di sostegno alla povertà e all’inclusione lavorativa)</w:t>
      </w:r>
      <w:r w:rsidR="00842E4A" w:rsidRPr="00842E4A">
        <w:rPr>
          <w:rFonts w:ascii="Bookman Old Style" w:eastAsia="Calibri" w:hAnsi="Bookman Old Style" w:cs="Times New Roman"/>
          <w:i/>
        </w:rPr>
        <w:t>:</w:t>
      </w:r>
      <w:r w:rsidR="00901A9A">
        <w:rPr>
          <w:rFonts w:ascii="Bookman Old Style" w:eastAsia="Calibri" w:hAnsi="Bookman Old Style" w:cs="Times New Roman"/>
          <w:i/>
        </w:rPr>
        <w:t xml:space="preserve"> </w:t>
      </w:r>
      <w:r w:rsidRPr="00842E4A">
        <w:rPr>
          <w:rFonts w:ascii="Bookman Old Style" w:eastAsia="Calibri" w:hAnsi="Bookman Old Style" w:cs="Times New Roman"/>
          <w:i/>
        </w:rPr>
        <w:t>sopprimere la lettera b) del comma 4.</w:t>
      </w:r>
    </w:p>
    <w:p w14:paraId="5B24CE31" w14:textId="77777777" w:rsidR="00916966" w:rsidRPr="00AC510C" w:rsidRDefault="00916966" w:rsidP="00842E4A">
      <w:pPr>
        <w:spacing w:after="80"/>
        <w:jc w:val="center"/>
        <w:rPr>
          <w:rFonts w:ascii="Bookman Old Style" w:eastAsia="Calibri" w:hAnsi="Bookman Old Style" w:cs="Times New Roman"/>
          <w:iCs/>
          <w:u w:val="single"/>
        </w:rPr>
      </w:pPr>
      <w:r w:rsidRPr="00AC510C">
        <w:rPr>
          <w:rFonts w:ascii="Bookman Old Style" w:hAnsi="Bookman Old Style"/>
          <w:b/>
          <w:bCs/>
        </w:rPr>
        <w:t>Motivazione</w:t>
      </w:r>
    </w:p>
    <w:p w14:paraId="2E071C52" w14:textId="77777777" w:rsidR="00916966" w:rsidRPr="003810FB" w:rsidRDefault="00916966" w:rsidP="00842E4A">
      <w:pPr>
        <w:shd w:val="clear" w:color="auto" w:fill="FFFFFF"/>
        <w:spacing w:after="80"/>
        <w:jc w:val="both"/>
        <w:rPr>
          <w:rFonts w:ascii="Bookman Old Style" w:eastAsia="Times New Roman" w:hAnsi="Bookman Old Style" w:cs="Calibri"/>
          <w:i/>
          <w:color w:val="000000"/>
        </w:rPr>
      </w:pPr>
      <w:r w:rsidRPr="003810FB">
        <w:rPr>
          <w:rFonts w:ascii="Bookman Old Style" w:eastAsia="Calibri" w:hAnsi="Bookman Old Style" w:cs="Times New Roman"/>
          <w:i/>
        </w:rPr>
        <w:t xml:space="preserve">In ragione dell’ampio numero dei beneficiari Rdc destinato ad aumentare ulteriormente a seguito delle </w:t>
      </w:r>
      <w:r w:rsidRPr="003810FB">
        <w:rPr>
          <w:rFonts w:ascii="Bookman Old Style" w:hAnsi="Bookman Old Style"/>
          <w:i/>
        </w:rPr>
        <w:t xml:space="preserve">ricadute sociali ed economiche generate dell'emergenza pandemica e dalla crisi energetica, come peraltro certificato dagli ultimi dati disponibili sulla povertà, </w:t>
      </w:r>
      <w:r w:rsidRPr="003810FB">
        <w:rPr>
          <w:rFonts w:ascii="Bookman Old Style" w:eastAsia="Times New Roman" w:hAnsi="Bookman Old Style" w:cs="Calibri"/>
          <w:i/>
          <w:color w:val="000000"/>
        </w:rPr>
        <w:t>si richiede l’abrogazione della lettera b) del comma 4 che prevede l’impiego da parte dei Comuni di tutti i percettori Rdc residenti e non di almeno un terzo di essi come già previsto dall’articolo 4, comma 15 del DL 28 gennaio 2019 n.4 così come modificato dalla legge 30 dicembre 2021 n.234 (legge bilancio 2022).</w:t>
      </w:r>
    </w:p>
    <w:p w14:paraId="59BC0156" w14:textId="42254A75" w:rsidR="004758A3" w:rsidRPr="004758A3" w:rsidRDefault="004758A3" w:rsidP="004758A3">
      <w:pPr>
        <w:pStyle w:val="Titolo1"/>
        <w:rPr>
          <w:rFonts w:ascii="Bookman Old Style" w:hAnsi="Bookman Old Style"/>
          <w:b/>
          <w:bCs/>
          <w:sz w:val="22"/>
          <w:szCs w:val="22"/>
        </w:rPr>
      </w:pPr>
      <w:bookmarkStart w:id="124" w:name="_Toc121214331"/>
      <w:r w:rsidRPr="004758A3">
        <w:rPr>
          <w:rFonts w:ascii="Bookman Old Style" w:hAnsi="Bookman Old Style"/>
          <w:b/>
          <w:bCs/>
          <w:sz w:val="22"/>
          <w:szCs w:val="22"/>
        </w:rPr>
        <w:t>AMBIENTE – PROTEZIONE CIVILE</w:t>
      </w:r>
      <w:bookmarkEnd w:id="124"/>
      <w:r w:rsidRPr="004758A3">
        <w:rPr>
          <w:rFonts w:ascii="Bookman Old Style" w:hAnsi="Bookman Old Style"/>
          <w:b/>
          <w:bCs/>
          <w:sz w:val="22"/>
          <w:szCs w:val="22"/>
        </w:rPr>
        <w:t xml:space="preserve"> </w:t>
      </w:r>
    </w:p>
    <w:p w14:paraId="1C8C1A59" w14:textId="77777777" w:rsidR="004758A3" w:rsidRDefault="004758A3" w:rsidP="004758A3">
      <w:pPr>
        <w:shd w:val="clear" w:color="auto" w:fill="FFFFFF"/>
        <w:spacing w:after="120" w:line="240" w:lineRule="auto"/>
        <w:rPr>
          <w:rFonts w:ascii="Bookman Old Style" w:hAnsi="Bookman Old Style"/>
          <w:b/>
          <w:bCs/>
          <w:color w:val="4472C4" w:themeColor="accent1"/>
        </w:rPr>
      </w:pPr>
    </w:p>
    <w:p w14:paraId="45DB78E3" w14:textId="283A67CD" w:rsidR="004758A3" w:rsidRPr="00A104E9" w:rsidRDefault="004758A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25" w:name="_Toc88901713"/>
      <w:bookmarkStart w:id="126" w:name="_Toc121214332"/>
      <w:r w:rsidRPr="00A104E9">
        <w:rPr>
          <w:rFonts w:ascii="Bookman Old Style" w:hAnsi="Bookman Old Style"/>
          <w:b/>
          <w:bCs/>
          <w:color w:val="2F5496" w:themeColor="accent1" w:themeShade="BF"/>
          <w:sz w:val="22"/>
          <w:szCs w:val="22"/>
        </w:rPr>
        <w:t>Fondo regionale di protezione civile</w:t>
      </w:r>
      <w:bookmarkEnd w:id="125"/>
      <w:bookmarkEnd w:id="126"/>
    </w:p>
    <w:p w14:paraId="3E33DC4E" w14:textId="72E3D42F" w:rsidR="004758A3" w:rsidRDefault="004758A3" w:rsidP="00CA4135">
      <w:pPr>
        <w:spacing w:after="80"/>
        <w:rPr>
          <w:rFonts w:ascii="Bookman Old Style" w:hAnsi="Bookman Old Style"/>
          <w:b/>
          <w:bCs/>
        </w:rPr>
      </w:pPr>
      <w:bookmarkStart w:id="127" w:name="_Toc88901714"/>
      <w:r w:rsidRPr="00AA0A82">
        <w:rPr>
          <w:rStyle w:val="normaltextrun"/>
          <w:rFonts w:ascii="Bookman Old Style" w:eastAsia="Times New Roman" w:hAnsi="Bookman Old Style"/>
          <w:i/>
          <w:iCs/>
        </w:rPr>
        <w:t>Integrare la dotazione finanziaria del fondo regionale di PC per assicurare i servizi territoriali</w:t>
      </w:r>
      <w:bookmarkEnd w:id="127"/>
      <w:r w:rsidR="00CA4135">
        <w:rPr>
          <w:rStyle w:val="normaltextrun"/>
          <w:rFonts w:ascii="Bookman Old Style" w:eastAsia="Times New Roman" w:hAnsi="Bookman Old Style"/>
          <w:b/>
          <w:bCs/>
          <w:i/>
          <w:iCs/>
        </w:rPr>
        <w:t xml:space="preserve">. </w:t>
      </w:r>
      <w:r w:rsidRPr="00CA4135">
        <w:rPr>
          <w:rFonts w:ascii="Bookman Old Style" w:hAnsi="Bookman Old Style"/>
          <w:i/>
          <w:iCs/>
        </w:rPr>
        <w:t>Aggiungere il seguente articolo</w:t>
      </w:r>
      <w:r w:rsidR="00CA4135">
        <w:rPr>
          <w:rFonts w:ascii="Bookman Old Style" w:hAnsi="Bookman Old Style"/>
          <w:i/>
          <w:iCs/>
        </w:rPr>
        <w:t>:</w:t>
      </w:r>
      <w:r>
        <w:rPr>
          <w:rFonts w:ascii="Bookman Old Style" w:hAnsi="Bookman Old Style"/>
          <w:b/>
          <w:bCs/>
        </w:rPr>
        <w:t xml:space="preserve"> </w:t>
      </w:r>
    </w:p>
    <w:p w14:paraId="6697664A" w14:textId="64359061" w:rsidR="004758A3" w:rsidRPr="00CA4135" w:rsidRDefault="00CA4135" w:rsidP="00CA4135">
      <w:pPr>
        <w:spacing w:after="80"/>
        <w:jc w:val="center"/>
        <w:rPr>
          <w:rFonts w:ascii="Bookman Old Style" w:hAnsi="Bookman Old Style"/>
          <w:i/>
          <w:iCs/>
        </w:rPr>
      </w:pPr>
      <w:r w:rsidRPr="00CA4135">
        <w:rPr>
          <w:rFonts w:ascii="Bookman Old Style" w:hAnsi="Bookman Old Style"/>
          <w:i/>
          <w:iCs/>
        </w:rPr>
        <w:t xml:space="preserve">Art. XX </w:t>
      </w:r>
      <w:r w:rsidR="004758A3" w:rsidRPr="00CA4135">
        <w:rPr>
          <w:rFonts w:ascii="Bookman Old Style" w:hAnsi="Bookman Old Style"/>
          <w:i/>
          <w:iCs/>
        </w:rPr>
        <w:t>(Integrazione del Fondo regionale protezione civile)</w:t>
      </w:r>
    </w:p>
    <w:p w14:paraId="6F42DE62" w14:textId="6EE507D2" w:rsidR="004758A3" w:rsidRDefault="004758A3" w:rsidP="00CA4135">
      <w:pPr>
        <w:spacing w:after="80"/>
        <w:jc w:val="both"/>
        <w:rPr>
          <w:rFonts w:ascii="Bookman Old Style" w:hAnsi="Bookman Old Style"/>
        </w:rPr>
      </w:pPr>
      <w:r w:rsidRPr="009A467F">
        <w:rPr>
          <w:rFonts w:ascii="Bookman Old Style" w:hAnsi="Bookman Old Style" w:hint="cs"/>
        </w:rPr>
        <w:t>«</w:t>
      </w:r>
      <w:r w:rsidRPr="009A467F">
        <w:rPr>
          <w:rFonts w:ascii="Bookman Old Style" w:hAnsi="Bookman Old Style"/>
        </w:rPr>
        <w:t>1</w:t>
      </w:r>
      <w:r w:rsidR="00901A9A">
        <w:rPr>
          <w:rFonts w:ascii="Bookman Old Style" w:hAnsi="Bookman Old Style"/>
        </w:rPr>
        <w:t xml:space="preserve"> </w:t>
      </w:r>
      <w:r>
        <w:rPr>
          <w:rFonts w:ascii="Bookman Old Style" w:hAnsi="Bookman Old Style"/>
        </w:rPr>
        <w:t xml:space="preserve">La dotazione del Fondo di cui all’articolo 45 del </w:t>
      </w:r>
      <w:r w:rsidR="00A01F4F">
        <w:rPr>
          <w:rFonts w:ascii="Bookman Old Style" w:hAnsi="Bookman Old Style"/>
        </w:rPr>
        <w:t>d</w:t>
      </w:r>
      <w:r>
        <w:rPr>
          <w:rFonts w:ascii="Bookman Old Style" w:hAnsi="Bookman Old Style"/>
        </w:rPr>
        <w:t xml:space="preserve">ecreto </w:t>
      </w:r>
      <w:r w:rsidR="00A01F4F">
        <w:rPr>
          <w:rFonts w:ascii="Bookman Old Style" w:hAnsi="Bookman Old Style"/>
        </w:rPr>
        <w:t>l</w:t>
      </w:r>
      <w:r>
        <w:rPr>
          <w:rFonts w:ascii="Bookman Old Style" w:hAnsi="Bookman Old Style"/>
        </w:rPr>
        <w:t xml:space="preserve">egislativo 2 gennaio 2018, n. 1, finalizzato al potenziamento del sistema di protezione civile delle Regioni e degli Enti locali e a concorrere agli interventi diretti a fronteggiare esigenze urgenti conseguenti alle emergenze di cui all’articolo 7, comma 1, lettera b) del succitato </w:t>
      </w:r>
      <w:r w:rsidRPr="005D71C3">
        <w:rPr>
          <w:rFonts w:ascii="Bookman Old Style" w:hAnsi="Bookman Old Style"/>
        </w:rPr>
        <w:t>decreto è integrata di</w:t>
      </w:r>
      <w:r w:rsidR="00901A9A">
        <w:rPr>
          <w:rFonts w:ascii="Bookman Old Style" w:hAnsi="Bookman Old Style"/>
        </w:rPr>
        <w:t xml:space="preserve"> </w:t>
      </w:r>
      <w:r>
        <w:rPr>
          <w:rFonts w:ascii="Bookman Old Style" w:hAnsi="Bookman Old Style"/>
        </w:rPr>
        <w:t xml:space="preserve">50 milioni di euro per ciascuno degli anni 2023, 2024 e 2025. All’onere derivante dall’attuazione del precedente periodo, </w:t>
      </w:r>
      <w:r w:rsidRPr="005D71C3">
        <w:rPr>
          <w:rFonts w:ascii="Bookman Old Style" w:hAnsi="Bookman Old Style"/>
        </w:rPr>
        <w:t xml:space="preserve">si provvede mediante corrispondente riduzione dello stanziamento iscritto, ai fini del bilancio triennale 2019-2021 nell’ambito dell’Unità revisionale di base di parte capitale “Fondo Speciale” dello Stato di previsione del Ministero dell’Economia e delle Finanze per l’anno 2010. </w:t>
      </w:r>
    </w:p>
    <w:p w14:paraId="735A477D" w14:textId="77777777" w:rsidR="004758A3" w:rsidRDefault="004758A3" w:rsidP="00CA4135">
      <w:pPr>
        <w:spacing w:after="80"/>
        <w:jc w:val="both"/>
        <w:rPr>
          <w:rFonts w:ascii="Bookman Old Style" w:hAnsi="Bookman Old Style"/>
        </w:rPr>
      </w:pPr>
      <w:r>
        <w:rPr>
          <w:rFonts w:ascii="Bookman Old Style" w:hAnsi="Bookman Old Style"/>
        </w:rPr>
        <w:t xml:space="preserve">3. Ai sensi dell’articolo 11, comma 2 del Decreto Legislativo 2 gennaio 2018, n. 1, il fondo è prioritariamente destinato dalle </w:t>
      </w:r>
      <w:r w:rsidRPr="002E7EDF">
        <w:rPr>
          <w:rFonts w:ascii="Bookman Old Style" w:hAnsi="Bookman Old Style"/>
        </w:rPr>
        <w:t>Regioni</w:t>
      </w:r>
      <w:r>
        <w:rPr>
          <w:rFonts w:ascii="Bookman Old Style" w:hAnsi="Bookman Old Style"/>
        </w:rPr>
        <w:t xml:space="preserve"> al potenziamento e sostegno dei servizi comunali e intercomunali di protezione civile</w:t>
      </w:r>
      <w:r w:rsidRPr="009A467F">
        <w:rPr>
          <w:rFonts w:ascii="Bookman Old Style" w:hAnsi="Bookman Old Style"/>
        </w:rPr>
        <w:t xml:space="preserve">. </w:t>
      </w:r>
    </w:p>
    <w:p w14:paraId="69758A35" w14:textId="1477A8EB" w:rsidR="004758A3" w:rsidRDefault="004758A3" w:rsidP="00CA4135">
      <w:pPr>
        <w:spacing w:after="80"/>
        <w:jc w:val="both"/>
        <w:rPr>
          <w:rFonts w:ascii="Bookman Old Style" w:hAnsi="Bookman Old Style"/>
        </w:rPr>
      </w:pPr>
      <w:r>
        <w:rPr>
          <w:rFonts w:ascii="Bookman Old Style" w:hAnsi="Bookman Old Style"/>
        </w:rPr>
        <w:t>4.</w:t>
      </w:r>
      <w:r w:rsidR="00901A9A">
        <w:rPr>
          <w:rFonts w:ascii="Bookman Old Style" w:hAnsi="Bookman Old Style"/>
        </w:rPr>
        <w:t xml:space="preserve"> </w:t>
      </w:r>
      <w:r>
        <w:rPr>
          <w:rFonts w:ascii="Bookman Old Style" w:hAnsi="Bookman Old Style"/>
        </w:rPr>
        <w:t>Il Ministro dell'economia e delle finanze è autorizzato ad apportare, con propri decreti, le occorrenti variazioni di bilancio.</w:t>
      </w:r>
      <w:r w:rsidR="00901A9A">
        <w:rPr>
          <w:rFonts w:ascii="Bookman Old Style" w:hAnsi="Bookman Old Style"/>
        </w:rPr>
        <w:t xml:space="preserve"> </w:t>
      </w:r>
    </w:p>
    <w:p w14:paraId="1E0511CA" w14:textId="77777777" w:rsidR="004758A3" w:rsidRDefault="004758A3" w:rsidP="00CA4135">
      <w:pPr>
        <w:spacing w:after="80"/>
        <w:jc w:val="center"/>
        <w:rPr>
          <w:rFonts w:ascii="Bookman Old Style" w:hAnsi="Bookman Old Style"/>
          <w:b/>
          <w:bCs/>
        </w:rPr>
      </w:pPr>
      <w:r>
        <w:rPr>
          <w:rFonts w:ascii="Bookman Old Style" w:hAnsi="Bookman Old Style"/>
          <w:b/>
          <w:bCs/>
        </w:rPr>
        <w:t>Motivazione</w:t>
      </w:r>
    </w:p>
    <w:p w14:paraId="5D8807E6" w14:textId="37021E3F" w:rsidR="004758A3" w:rsidRPr="00B12238" w:rsidRDefault="004758A3" w:rsidP="00CA4135">
      <w:pPr>
        <w:spacing w:after="80"/>
        <w:jc w:val="both"/>
        <w:rPr>
          <w:rFonts w:ascii="Bookman Old Style" w:hAnsi="Bookman Old Style"/>
          <w:i/>
          <w:iCs/>
        </w:rPr>
      </w:pPr>
      <w:r>
        <w:rPr>
          <w:rFonts w:ascii="Bookman Old Style" w:hAnsi="Bookman Old Style"/>
          <w:i/>
          <w:iCs/>
        </w:rPr>
        <w:t>Nel Codice della protezione Civile del 2018</w:t>
      </w:r>
      <w:r w:rsidR="00901A9A">
        <w:rPr>
          <w:rFonts w:ascii="Bookman Old Style" w:hAnsi="Bookman Old Style"/>
          <w:i/>
          <w:iCs/>
        </w:rPr>
        <w:t xml:space="preserve"> </w:t>
      </w:r>
      <w:r>
        <w:rPr>
          <w:rFonts w:ascii="Bookman Old Style" w:hAnsi="Bookman Old Style"/>
          <w:i/>
          <w:iCs/>
        </w:rPr>
        <w:t>viene identificata e precisata la “funzione fondamentale” in materia di protezione civile affidata ai Comuni e dalla quale non si può derogare o rinunciare</w:t>
      </w:r>
      <w:r w:rsidRPr="00B12238">
        <w:rPr>
          <w:rFonts w:ascii="Bookman Old Style" w:hAnsi="Bookman Old Style"/>
          <w:i/>
          <w:iCs/>
        </w:rPr>
        <w:t>, ma l’attribuzione di questa funzione non trova riscontro in alcun finanziamento dedicato,</w:t>
      </w:r>
      <w:r w:rsidR="00901A9A">
        <w:rPr>
          <w:rFonts w:ascii="Bookman Old Style" w:hAnsi="Bookman Old Style"/>
          <w:i/>
          <w:iCs/>
        </w:rPr>
        <w:t xml:space="preserve"> </w:t>
      </w:r>
      <w:r w:rsidRPr="00B12238">
        <w:rPr>
          <w:rFonts w:ascii="Bookman Old Style" w:hAnsi="Bookman Old Style"/>
          <w:i/>
          <w:iCs/>
        </w:rPr>
        <w:t>in violazione delle disposizioni costituzionali.</w:t>
      </w:r>
    </w:p>
    <w:p w14:paraId="46A3D7C0" w14:textId="7F40FE5D" w:rsidR="004758A3" w:rsidRDefault="004758A3" w:rsidP="00CA4135">
      <w:pPr>
        <w:spacing w:after="80"/>
        <w:jc w:val="both"/>
        <w:rPr>
          <w:rFonts w:ascii="Bookman Old Style" w:hAnsi="Bookman Old Style"/>
          <w:i/>
          <w:iCs/>
        </w:rPr>
      </w:pPr>
      <w:r>
        <w:rPr>
          <w:rFonts w:ascii="Bookman Old Style" w:hAnsi="Bookman Old Style"/>
          <w:i/>
          <w:iCs/>
        </w:rPr>
        <w:t xml:space="preserve"> La norma opera</w:t>
      </w:r>
      <w:r w:rsidR="00901A9A">
        <w:rPr>
          <w:rFonts w:ascii="Bookman Old Style" w:hAnsi="Bookman Old Style"/>
          <w:i/>
          <w:iCs/>
        </w:rPr>
        <w:t xml:space="preserve"> </w:t>
      </w:r>
      <w:r>
        <w:rPr>
          <w:rFonts w:ascii="Bookman Old Style" w:hAnsi="Bookman Old Style"/>
          <w:i/>
          <w:iCs/>
        </w:rPr>
        <w:t>una distinzione fra il ruolo di indirizzo politico dei Sindaci, Autorità di protezione civile, e quello tecnico e amministrativo assegnato alle Strutture organizzative dei Comuni. Lo svolgimento delle attività di protezione civile è articolato in Ambiti Territoriali, definiti dalle regioni, all’interno dei quali devono essere avviati i “Servizi”</w:t>
      </w:r>
      <w:r w:rsidR="00901A9A">
        <w:rPr>
          <w:rFonts w:ascii="Bookman Old Style" w:hAnsi="Bookman Old Style"/>
          <w:i/>
          <w:iCs/>
        </w:rPr>
        <w:t xml:space="preserve"> </w:t>
      </w:r>
      <w:r>
        <w:rPr>
          <w:rFonts w:ascii="Bookman Old Style" w:hAnsi="Bookman Old Style"/>
          <w:i/>
          <w:iCs/>
        </w:rPr>
        <w:t>territoriali di protezione civile, ai quali i Comuni riuniti negli ambiti potranno anche fare riferimento. Stante l’attuale situazione delle strutture di Protezione civile dei Comuni, povere di mezzi e attrezzature, oltre che di personale, è necessario individuare risorse certe – non previste da PNRR o altri meccanismi di finanziamento - per l’organizzazione dei servizi comunali e intercomunali di Protezione Civile. Si chiede quindi di integrare la dotazione del fondo regionale di PC, finanziato a distanza di anni per la prima volta con la legge di bilancio per il 2022 con soli 10 milioni di euro,</w:t>
      </w:r>
      <w:r w:rsidR="00327B55">
        <w:rPr>
          <w:rFonts w:ascii="Bookman Old Style" w:hAnsi="Bookman Old Style"/>
          <w:i/>
          <w:iCs/>
        </w:rPr>
        <w:t xml:space="preserve"> </w:t>
      </w:r>
      <w:r>
        <w:rPr>
          <w:rFonts w:ascii="Bookman Old Style" w:hAnsi="Bookman Old Style"/>
          <w:i/>
          <w:iCs/>
        </w:rPr>
        <w:t xml:space="preserve">così da disporre di risorse adeguate </w:t>
      </w:r>
      <w:r w:rsidR="00327B55">
        <w:rPr>
          <w:rFonts w:ascii="Bookman Old Style" w:hAnsi="Bookman Old Style"/>
          <w:i/>
          <w:iCs/>
        </w:rPr>
        <w:t xml:space="preserve">alle </w:t>
      </w:r>
      <w:r>
        <w:rPr>
          <w:rFonts w:ascii="Bookman Old Style" w:hAnsi="Bookman Old Style"/>
          <w:i/>
          <w:iCs/>
        </w:rPr>
        <w:t>specifiche finalità. </w:t>
      </w:r>
    </w:p>
    <w:p w14:paraId="0843349D" w14:textId="77777777" w:rsidR="004758A3" w:rsidRDefault="004758A3" w:rsidP="00CA4135">
      <w:pPr>
        <w:spacing w:after="80"/>
      </w:pPr>
    </w:p>
    <w:p w14:paraId="0CA9F92E" w14:textId="01BF1C96" w:rsidR="00A01F4F" w:rsidRDefault="00A01F4F">
      <w:pPr>
        <w:rPr>
          <w:rFonts w:ascii="Bookman Old Style" w:eastAsiaTheme="majorEastAsia" w:hAnsi="Bookman Old Style" w:cs="Times New Roman"/>
          <w:b/>
          <w:bCs/>
          <w:color w:val="2F5496" w:themeColor="accent1" w:themeShade="BF"/>
        </w:rPr>
      </w:pPr>
    </w:p>
    <w:p w14:paraId="51E430D4" w14:textId="77777777" w:rsidR="002B0155" w:rsidRDefault="002B0155">
      <w:pPr>
        <w:rPr>
          <w:rFonts w:ascii="Bookman Old Style" w:eastAsiaTheme="majorEastAsia" w:hAnsi="Bookman Old Style" w:cs="Times New Roman"/>
          <w:b/>
          <w:bCs/>
          <w:color w:val="2F5496" w:themeColor="accent1" w:themeShade="BF"/>
        </w:rPr>
      </w:pPr>
      <w:r>
        <w:rPr>
          <w:rFonts w:ascii="Bookman Old Style" w:hAnsi="Bookman Old Style" w:cs="Times New Roman"/>
          <w:b/>
          <w:bCs/>
        </w:rPr>
        <w:br w:type="page"/>
      </w:r>
    </w:p>
    <w:p w14:paraId="5F61B951" w14:textId="26958A37" w:rsidR="00D02BCA" w:rsidRPr="0077214B" w:rsidRDefault="00D02BCA" w:rsidP="0077214B">
      <w:pPr>
        <w:pStyle w:val="Titolo1"/>
        <w:spacing w:before="0" w:after="80"/>
        <w:rPr>
          <w:rFonts w:ascii="Bookman Old Style" w:hAnsi="Bookman Old Style" w:cs="Times New Roman"/>
          <w:b/>
          <w:bCs/>
          <w:sz w:val="22"/>
          <w:szCs w:val="22"/>
        </w:rPr>
      </w:pPr>
      <w:bookmarkStart w:id="128" w:name="_Toc121214333"/>
      <w:r w:rsidRPr="0077214B">
        <w:rPr>
          <w:rFonts w:ascii="Bookman Old Style" w:hAnsi="Bookman Old Style" w:cs="Times New Roman"/>
          <w:b/>
          <w:bCs/>
          <w:sz w:val="22"/>
          <w:szCs w:val="22"/>
        </w:rPr>
        <w:t>SICUREZZA – LEGALITA’ - POLIZIA LOCALE</w:t>
      </w:r>
      <w:bookmarkEnd w:id="128"/>
      <w:r w:rsidRPr="0077214B">
        <w:rPr>
          <w:rFonts w:ascii="Bookman Old Style" w:hAnsi="Bookman Old Style" w:cs="Times New Roman"/>
          <w:b/>
          <w:bCs/>
          <w:sz w:val="22"/>
          <w:szCs w:val="22"/>
        </w:rPr>
        <w:t xml:space="preserve"> </w:t>
      </w:r>
    </w:p>
    <w:p w14:paraId="2B9F4210" w14:textId="77777777" w:rsidR="004758A3" w:rsidRPr="0077214B" w:rsidRDefault="004758A3" w:rsidP="0077214B">
      <w:pPr>
        <w:shd w:val="clear" w:color="auto" w:fill="FFFFFF"/>
        <w:spacing w:after="80"/>
        <w:rPr>
          <w:rFonts w:ascii="Bookman Old Style" w:hAnsi="Bookman Old Style"/>
          <w:b/>
          <w:bCs/>
          <w:i/>
          <w:iCs/>
        </w:rPr>
      </w:pPr>
    </w:p>
    <w:p w14:paraId="17B63083" w14:textId="5C04F519" w:rsidR="004758A3" w:rsidRPr="0077214B" w:rsidRDefault="004758A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29" w:name="_Toc121214334"/>
      <w:r w:rsidRPr="0077214B">
        <w:rPr>
          <w:rFonts w:ascii="Bookman Old Style" w:hAnsi="Bookman Old Style"/>
          <w:b/>
          <w:bCs/>
          <w:color w:val="2F5496" w:themeColor="accent1" w:themeShade="BF"/>
          <w:sz w:val="22"/>
          <w:szCs w:val="22"/>
        </w:rPr>
        <w:t>Modifiche all’art. 208 del codice della strada</w:t>
      </w:r>
      <w:bookmarkEnd w:id="129"/>
    </w:p>
    <w:p w14:paraId="436FDD1E" w14:textId="77777777" w:rsidR="004758A3" w:rsidRPr="0077214B" w:rsidRDefault="004758A3" w:rsidP="0077214B">
      <w:pPr>
        <w:spacing w:after="80"/>
        <w:jc w:val="both"/>
        <w:rPr>
          <w:rFonts w:ascii="Bookman Old Style" w:eastAsia="Times New Roman" w:hAnsi="Bookman Old Style"/>
          <w:i/>
          <w:color w:val="000000"/>
        </w:rPr>
      </w:pPr>
      <w:r w:rsidRPr="0077214B">
        <w:rPr>
          <w:rFonts w:ascii="Bookman Old Style" w:eastAsia="Times New Roman" w:hAnsi="Bookman Old Style"/>
          <w:i/>
          <w:color w:val="000000"/>
        </w:rPr>
        <w:t>Dopo l’articolo 92 è inserito il seguente articolo:</w:t>
      </w:r>
    </w:p>
    <w:p w14:paraId="3582A556" w14:textId="45AF0DBF" w:rsidR="004758A3" w:rsidRPr="00327B55" w:rsidRDefault="004758A3" w:rsidP="00327B55">
      <w:pPr>
        <w:shd w:val="clear" w:color="auto" w:fill="FFFFFF"/>
        <w:spacing w:after="80"/>
        <w:jc w:val="center"/>
        <w:rPr>
          <w:rFonts w:ascii="Bookman Old Style" w:eastAsia="Times New Roman" w:hAnsi="Bookman Old Style" w:cs="Arial"/>
          <w:i/>
          <w:iCs/>
          <w:color w:val="222222"/>
          <w:lang w:eastAsia="it-IT"/>
        </w:rPr>
      </w:pPr>
      <w:r w:rsidRPr="00327B55">
        <w:rPr>
          <w:rFonts w:ascii="Bookman Old Style" w:eastAsia="Times New Roman" w:hAnsi="Bookman Old Style" w:cs="Arial"/>
          <w:i/>
          <w:iCs/>
          <w:color w:val="222222"/>
          <w:lang w:eastAsia="it-IT"/>
        </w:rPr>
        <w:t>“Art. 92</w:t>
      </w:r>
      <w:r w:rsidR="00327B55">
        <w:rPr>
          <w:rFonts w:ascii="Bookman Old Style" w:eastAsia="Times New Roman" w:hAnsi="Bookman Old Style" w:cs="Arial"/>
          <w:i/>
          <w:iCs/>
          <w:color w:val="222222"/>
          <w:lang w:eastAsia="it-IT"/>
        </w:rPr>
        <w:t>-</w:t>
      </w:r>
      <w:r w:rsidRPr="00327B55">
        <w:rPr>
          <w:rFonts w:ascii="Bookman Old Style" w:eastAsia="Times New Roman" w:hAnsi="Bookman Old Style" w:cs="Arial"/>
          <w:i/>
          <w:iCs/>
          <w:color w:val="222222"/>
          <w:lang w:eastAsia="it-IT"/>
        </w:rPr>
        <w:t>bis</w:t>
      </w:r>
      <w:r w:rsidR="00327B55">
        <w:rPr>
          <w:rFonts w:ascii="Bookman Old Style" w:eastAsia="Times New Roman" w:hAnsi="Bookman Old Style" w:cs="Arial"/>
          <w:i/>
          <w:iCs/>
          <w:color w:val="222222"/>
          <w:lang w:eastAsia="it-IT"/>
        </w:rPr>
        <w:t xml:space="preserve"> (</w:t>
      </w:r>
      <w:r w:rsidRPr="00327B55">
        <w:rPr>
          <w:rFonts w:ascii="Bookman Old Style" w:eastAsia="Times New Roman" w:hAnsi="Bookman Old Style" w:cs="Arial"/>
          <w:i/>
          <w:iCs/>
          <w:color w:val="222222"/>
          <w:lang w:eastAsia="it-IT"/>
        </w:rPr>
        <w:t>Modifiche all’articolo 208 del Codice della Strada</w:t>
      </w:r>
      <w:r w:rsidR="00327B55">
        <w:rPr>
          <w:rFonts w:ascii="Bookman Old Style" w:eastAsia="Times New Roman" w:hAnsi="Bookman Old Style" w:cs="Arial"/>
          <w:i/>
          <w:iCs/>
          <w:color w:val="222222"/>
          <w:lang w:eastAsia="it-IT"/>
        </w:rPr>
        <w:t>)</w:t>
      </w:r>
    </w:p>
    <w:p w14:paraId="5504EE05" w14:textId="21D4E39D" w:rsidR="004758A3" w:rsidRPr="0077214B" w:rsidRDefault="00327B55" w:rsidP="0077214B">
      <w:pPr>
        <w:shd w:val="clear" w:color="auto" w:fill="FFFFFF"/>
        <w:spacing w:after="80"/>
        <w:rPr>
          <w:rFonts w:ascii="Bookman Old Style" w:eastAsia="Times New Roman" w:hAnsi="Bookman Old Style" w:cs="Arial"/>
          <w:color w:val="222222"/>
          <w:lang w:eastAsia="it-IT"/>
        </w:rPr>
      </w:pPr>
      <w:r>
        <w:rPr>
          <w:rFonts w:ascii="Bookman Old Style" w:eastAsia="Times New Roman" w:hAnsi="Bookman Old Style" w:cs="Arial"/>
          <w:color w:val="222222"/>
          <w:lang w:eastAsia="it-IT"/>
        </w:rPr>
        <w:t xml:space="preserve">1. </w:t>
      </w:r>
      <w:r w:rsidR="004758A3" w:rsidRPr="0077214B">
        <w:rPr>
          <w:rFonts w:ascii="Bookman Old Style" w:eastAsia="Times New Roman" w:hAnsi="Bookman Old Style" w:cs="Arial"/>
          <w:color w:val="222222"/>
          <w:lang w:eastAsia="it-IT"/>
        </w:rPr>
        <w:t xml:space="preserve">All’articolo 208 </w:t>
      </w:r>
      <w:r w:rsidR="004758A3" w:rsidRPr="0077214B">
        <w:rPr>
          <w:rFonts w:ascii="Bookman Old Style" w:eastAsia="Times New Roman" w:hAnsi="Bookman Old Style" w:cs="Calibri"/>
          <w:color w:val="323130"/>
          <w:lang w:eastAsia="it-IT"/>
        </w:rPr>
        <w:t>del decreto legislativo 30 aprile 1992, n. 285,</w:t>
      </w:r>
      <w:r w:rsidR="004758A3" w:rsidRPr="0077214B">
        <w:rPr>
          <w:rFonts w:ascii="Bookman Old Style" w:eastAsia="Times New Roman" w:hAnsi="Bookman Old Style" w:cs="Arial"/>
          <w:color w:val="222222"/>
          <w:lang w:eastAsia="it-IT"/>
        </w:rPr>
        <w:t xml:space="preserve"> il comma 4 è sostituito dal seguente: </w:t>
      </w:r>
    </w:p>
    <w:p w14:paraId="392C161A" w14:textId="638C924A" w:rsidR="004758A3" w:rsidRPr="0077214B" w:rsidRDefault="004758A3" w:rsidP="00327B55">
      <w:pPr>
        <w:shd w:val="clear" w:color="auto" w:fill="FFFFFF"/>
        <w:spacing w:after="80"/>
        <w:ind w:left="284"/>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“4. Una quota pari al 50 per cento dei proventi spettanti agli enti di cui al secondo periodo del comma 1 è destinata, con delibera </w:t>
      </w:r>
      <w:r w:rsidR="00D93390">
        <w:rPr>
          <w:rFonts w:ascii="Bookman Old Style" w:eastAsia="Times New Roman" w:hAnsi="Bookman Old Style" w:cs="Arial"/>
          <w:color w:val="222222"/>
          <w:lang w:eastAsia="it-IT"/>
        </w:rPr>
        <w:t>dell’organo esecutivo</w:t>
      </w:r>
      <w:r w:rsidRPr="0077214B">
        <w:rPr>
          <w:rFonts w:ascii="Bookman Old Style" w:eastAsia="Times New Roman" w:hAnsi="Bookman Old Style" w:cs="Arial"/>
          <w:color w:val="222222"/>
          <w:lang w:eastAsia="it-IT"/>
        </w:rPr>
        <w:t>, alle finalità connesse:</w:t>
      </w:r>
    </w:p>
    <w:p w14:paraId="6B58A694"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 miglioramento della sicurezza stradale, </w:t>
      </w:r>
    </w:p>
    <w:p w14:paraId="42FB7261"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alla manutenzione delle strade di proprietà dell'ente, </w:t>
      </w:r>
    </w:p>
    <w:p w14:paraId="435FBB65"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all'installazione, all'ammodernamento, al potenziamento, alla messa a norma e alla manutenzione delle barriere e alla sistemazione del manto stradale delle strade di proprietà dell’ente </w:t>
      </w:r>
    </w:p>
    <w:p w14:paraId="4AA4E875"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alla redazione dei piani di cui all'articolo 36, </w:t>
      </w:r>
    </w:p>
    <w:p w14:paraId="3376B762"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 interventi per la sicurezza stradale a tutela degli utenti deboli, quali bambini, anziani, disabili, pedoni e ciclisti, </w:t>
      </w:r>
    </w:p>
    <w:p w14:paraId="6C65ED23"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allo svolgimento, da parte degli organi di polizia locale, nelle scuole di ogni ordine e grado, di corsi didattici finalizzati all'educazione stradale, </w:t>
      </w:r>
    </w:p>
    <w:p w14:paraId="1D473CF2"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 misure di assistenza e di previdenza per il personale di cui alle lettere d-bis) ed e) del comma 1 dell'articolo 12, </w:t>
      </w:r>
    </w:p>
    <w:p w14:paraId="50F9D2AD"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alle misure di cui al comma 5-bis del presente articolo </w:t>
      </w:r>
    </w:p>
    <w:p w14:paraId="1B140A9F"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 interventi a favore della mobilità sostenibile e ciclistica, </w:t>
      </w:r>
    </w:p>
    <w:p w14:paraId="6AE82C15"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alla rimozione dei rifiuti stradali </w:t>
      </w:r>
    </w:p>
    <w:p w14:paraId="67F015EA"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alla cura e prevenzione del randagismo, </w:t>
      </w:r>
    </w:p>
    <w:p w14:paraId="0085AE9E" w14:textId="77777777" w:rsidR="004758A3" w:rsidRPr="0077214B" w:rsidRDefault="004758A3" w:rsidP="00327B55">
      <w:pPr>
        <w:pStyle w:val="Paragrafoelenco"/>
        <w:numPr>
          <w:ilvl w:val="0"/>
          <w:numId w:val="20"/>
        </w:numPr>
        <w:shd w:val="clear" w:color="auto" w:fill="FFFFFF"/>
        <w:spacing w:after="80"/>
        <w:ind w:left="709"/>
        <w:contextualSpacing w:val="0"/>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 xml:space="preserve">all’acquisto di automezzi, mezzi e attrezzature dei corpi e dei servizi di polizia municipale. </w:t>
      </w:r>
    </w:p>
    <w:p w14:paraId="23889980" w14:textId="77777777" w:rsidR="004758A3" w:rsidRPr="0077214B" w:rsidRDefault="004758A3" w:rsidP="00327B55">
      <w:pPr>
        <w:shd w:val="clear" w:color="auto" w:fill="FFFFFF"/>
        <w:spacing w:after="80"/>
        <w:ind w:left="284"/>
        <w:jc w:val="both"/>
        <w:rPr>
          <w:rFonts w:ascii="Bookman Old Style" w:eastAsia="Times New Roman" w:hAnsi="Bookman Old Style" w:cs="Arial"/>
          <w:color w:val="222222"/>
          <w:lang w:eastAsia="it-IT"/>
        </w:rPr>
      </w:pPr>
      <w:r w:rsidRPr="0077214B">
        <w:rPr>
          <w:rFonts w:ascii="Bookman Old Style" w:eastAsia="Times New Roman" w:hAnsi="Bookman Old Style" w:cs="Arial"/>
          <w:color w:val="222222"/>
          <w:lang w:eastAsia="it-IT"/>
        </w:rPr>
        <w:t>La quota di cui al periodo precedente è determinata sul totale delle somme incassate, al netto delle spese sostenute per i procedimenti amministrativi connessi all’accertamento e alla riscossione dei proventi in questione.”</w:t>
      </w:r>
    </w:p>
    <w:p w14:paraId="4A757C85" w14:textId="77777777" w:rsidR="004758A3" w:rsidRPr="0077214B" w:rsidRDefault="004758A3" w:rsidP="0077214B">
      <w:pPr>
        <w:tabs>
          <w:tab w:val="left" w:pos="1590"/>
        </w:tabs>
        <w:spacing w:after="80"/>
        <w:rPr>
          <w:rFonts w:ascii="Bookman Old Style" w:hAnsi="Bookman Old Style"/>
          <w:i/>
          <w:iCs/>
        </w:rPr>
      </w:pPr>
      <w:r w:rsidRPr="0077214B">
        <w:rPr>
          <w:rFonts w:ascii="Bookman Old Style" w:hAnsi="Bookman Old Style"/>
          <w:i/>
          <w:iCs/>
        </w:rPr>
        <w:t>Conseguentemente al comma 5-bis, le parole “di cui alla lettera c)” sono abrogate.</w:t>
      </w:r>
    </w:p>
    <w:p w14:paraId="5F28A6FE" w14:textId="77777777" w:rsidR="004758A3" w:rsidRPr="0077214B" w:rsidRDefault="004758A3" w:rsidP="0077214B">
      <w:pPr>
        <w:spacing w:after="80"/>
        <w:jc w:val="center"/>
        <w:rPr>
          <w:rFonts w:ascii="Bookman Old Style" w:hAnsi="Bookman Old Style"/>
          <w:b/>
          <w:bCs/>
        </w:rPr>
      </w:pPr>
      <w:r w:rsidRPr="0077214B">
        <w:rPr>
          <w:rFonts w:ascii="Bookman Old Style" w:hAnsi="Bookman Old Style"/>
          <w:b/>
          <w:bCs/>
        </w:rPr>
        <w:t>Motivazione</w:t>
      </w:r>
    </w:p>
    <w:p w14:paraId="66F62A48" w14:textId="77777777" w:rsidR="004758A3" w:rsidRPr="0077214B" w:rsidRDefault="004758A3" w:rsidP="0077214B">
      <w:pPr>
        <w:spacing w:after="80"/>
        <w:jc w:val="both"/>
        <w:rPr>
          <w:rFonts w:ascii="Bookman Old Style" w:hAnsi="Bookman Old Style"/>
          <w:i/>
          <w:iCs/>
        </w:rPr>
      </w:pPr>
      <w:r w:rsidRPr="0077214B">
        <w:rPr>
          <w:rFonts w:ascii="Bookman Old Style" w:hAnsi="Bookman Old Style"/>
          <w:i/>
          <w:iCs/>
        </w:rPr>
        <w:t xml:space="preserve">La proposta raggruppa le possibili finalità dell’impiego vincolato del 50% dei proventi da violazioni al Codice della strada abolendo l’ulteriore suddivisione in sotto-quote. Viene così semplificato e reso più flessibile il dispositivo dei vincoli, lasciando all’autonomia del Comune la scelta sugli impieghi nel tempo più utili d opportuni. </w:t>
      </w:r>
    </w:p>
    <w:p w14:paraId="0CC10492" w14:textId="77777777" w:rsidR="004758A3" w:rsidRPr="0077214B" w:rsidRDefault="004758A3" w:rsidP="0077214B">
      <w:pPr>
        <w:spacing w:after="80"/>
        <w:jc w:val="both"/>
        <w:rPr>
          <w:rFonts w:ascii="Bookman Old Style" w:hAnsi="Bookman Old Style"/>
          <w:i/>
          <w:iCs/>
        </w:rPr>
      </w:pPr>
      <w:r w:rsidRPr="0077214B">
        <w:rPr>
          <w:rFonts w:ascii="Bookman Old Style" w:hAnsi="Bookman Old Style"/>
          <w:i/>
          <w:iCs/>
        </w:rPr>
        <w:t>Sono comunque mantenute le voci di impiego preesistenti, con l’aggiunta della possibilità di finanziare la redazione dei piani di cui all’articolo 36 del Codice della strada (Piani urbani del traffico), il cui elemento centrale è costituito dal perseguimento di elevati livelli di sicurezza stradale urbana.</w:t>
      </w:r>
    </w:p>
    <w:p w14:paraId="63D9048B" w14:textId="77777777" w:rsidR="004758A3" w:rsidRPr="0077214B" w:rsidRDefault="004758A3" w:rsidP="0077214B">
      <w:pPr>
        <w:spacing w:after="80"/>
        <w:jc w:val="both"/>
        <w:rPr>
          <w:rFonts w:ascii="Bookman Old Style" w:eastAsia="Times New Roman" w:hAnsi="Bookman Old Style" w:cs="Arial"/>
          <w:b/>
          <w:bCs/>
          <w:color w:val="222222"/>
          <w:shd w:val="clear" w:color="auto" w:fill="FFFFFF"/>
          <w:lang w:eastAsia="it-IT"/>
        </w:rPr>
      </w:pPr>
      <w:r w:rsidRPr="0077214B">
        <w:rPr>
          <w:rFonts w:ascii="Bookman Old Style" w:hAnsi="Bookman Old Style"/>
          <w:i/>
          <w:iCs/>
        </w:rPr>
        <w:t xml:space="preserve">La norma proposta, inoltre, esplicita che il calcolo della quota vincolata deve avvenire al netto degli oneri sostenuti per l’accertamento e la riscossione dei proventi da multe. </w:t>
      </w:r>
    </w:p>
    <w:p w14:paraId="4A24C7E8" w14:textId="2B87CF7E" w:rsidR="004758A3" w:rsidRPr="0077214B" w:rsidRDefault="004758A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30" w:name="_Toc121214335"/>
      <w:r w:rsidRPr="0077214B">
        <w:rPr>
          <w:rFonts w:ascii="Bookman Old Style" w:hAnsi="Bookman Old Style"/>
          <w:b/>
          <w:bCs/>
          <w:color w:val="2F5496" w:themeColor="accent1" w:themeShade="BF"/>
          <w:sz w:val="22"/>
          <w:szCs w:val="22"/>
        </w:rPr>
        <w:t>Modifiche all’articolo 201 del codice della strada</w:t>
      </w:r>
      <w:bookmarkEnd w:id="130"/>
    </w:p>
    <w:p w14:paraId="643854F3" w14:textId="77777777" w:rsidR="004758A3" w:rsidRDefault="004758A3" w:rsidP="0077214B">
      <w:pPr>
        <w:spacing w:after="80"/>
        <w:jc w:val="both"/>
        <w:rPr>
          <w:rFonts w:ascii="Bookman Old Style" w:eastAsia="Times New Roman" w:hAnsi="Bookman Old Style"/>
          <w:i/>
          <w:color w:val="000000"/>
        </w:rPr>
      </w:pPr>
      <w:r w:rsidRPr="0077214B">
        <w:rPr>
          <w:rFonts w:ascii="Bookman Old Style" w:eastAsia="Times New Roman" w:hAnsi="Bookman Old Style"/>
          <w:i/>
          <w:color w:val="000000"/>
        </w:rPr>
        <w:t>Dopo l’articolo 92 bis è inserito il seguente articolo:</w:t>
      </w:r>
    </w:p>
    <w:p w14:paraId="79042345" w14:textId="0BE6F064" w:rsidR="00D93390" w:rsidRPr="00A20489" w:rsidRDefault="00D93390" w:rsidP="00D93390">
      <w:pPr>
        <w:pStyle w:val="PreformattatoHTML"/>
        <w:shd w:val="clear" w:color="auto" w:fill="FFFFFF"/>
        <w:spacing w:after="80" w:line="259" w:lineRule="auto"/>
        <w:jc w:val="center"/>
        <w:rPr>
          <w:rFonts w:ascii="Bookman Old Style" w:hAnsi="Bookman Old Style"/>
          <w:i/>
          <w:iCs/>
          <w:sz w:val="22"/>
          <w:szCs w:val="22"/>
        </w:rPr>
      </w:pPr>
      <w:r>
        <w:rPr>
          <w:rFonts w:ascii="Bookman Old Style" w:hAnsi="Bookman Old Style"/>
          <w:i/>
          <w:iCs/>
          <w:sz w:val="22"/>
          <w:szCs w:val="22"/>
        </w:rPr>
        <w:t>A</w:t>
      </w:r>
      <w:r w:rsidRPr="00A20489">
        <w:rPr>
          <w:rFonts w:ascii="Bookman Old Style" w:hAnsi="Bookman Old Style"/>
          <w:i/>
          <w:iCs/>
          <w:sz w:val="22"/>
          <w:szCs w:val="22"/>
        </w:rPr>
        <w:t xml:space="preserve">rt. </w:t>
      </w:r>
      <w:r>
        <w:rPr>
          <w:rFonts w:ascii="Bookman Old Style" w:hAnsi="Bookman Old Style"/>
          <w:i/>
          <w:iCs/>
          <w:sz w:val="22"/>
          <w:szCs w:val="22"/>
        </w:rPr>
        <w:t>92-</w:t>
      </w:r>
      <w:r w:rsidRPr="00A20489">
        <w:rPr>
          <w:rFonts w:ascii="Bookman Old Style" w:hAnsi="Bookman Old Style"/>
          <w:i/>
          <w:iCs/>
          <w:sz w:val="22"/>
          <w:szCs w:val="22"/>
        </w:rPr>
        <w:t>bis</w:t>
      </w:r>
      <w:r>
        <w:rPr>
          <w:rFonts w:ascii="Bookman Old Style" w:hAnsi="Bookman Old Style"/>
          <w:i/>
          <w:iCs/>
          <w:sz w:val="22"/>
          <w:szCs w:val="22"/>
        </w:rPr>
        <w:t xml:space="preserve"> (Notifica delle violazioni)</w:t>
      </w:r>
    </w:p>
    <w:p w14:paraId="601FCF4F" w14:textId="77777777" w:rsidR="004758A3" w:rsidRPr="0077214B" w:rsidRDefault="004758A3" w:rsidP="0077214B">
      <w:pPr>
        <w:spacing w:after="80"/>
        <w:jc w:val="both"/>
        <w:rPr>
          <w:rFonts w:ascii="Bookman Old Style" w:eastAsia="Times New Roman" w:hAnsi="Bookman Old Style" w:cs="Times New Roman"/>
        </w:rPr>
      </w:pPr>
      <w:r w:rsidRPr="0077214B">
        <w:rPr>
          <w:rFonts w:ascii="Bookman Old Style" w:eastAsia="Times New Roman" w:hAnsi="Bookman Old Style" w:cs="Times New Roman"/>
        </w:rPr>
        <w:t>“Art. 92 ter – Modifiche all’articolo 201 del Codice della Strada</w:t>
      </w:r>
    </w:p>
    <w:p w14:paraId="3F60F9CB" w14:textId="77777777" w:rsidR="004758A3" w:rsidRPr="0077214B" w:rsidRDefault="004758A3" w:rsidP="0077214B">
      <w:pPr>
        <w:spacing w:after="80"/>
        <w:jc w:val="both"/>
        <w:rPr>
          <w:rFonts w:ascii="Bookman Old Style" w:eastAsia="Times New Roman" w:hAnsi="Bookman Old Style" w:cs="Times New Roman"/>
        </w:rPr>
      </w:pPr>
      <w:r w:rsidRPr="0077214B">
        <w:rPr>
          <w:rFonts w:ascii="Bookman Old Style" w:eastAsia="Times New Roman" w:hAnsi="Bookman Old Style" w:cs="Times New Roman"/>
        </w:rPr>
        <w:t xml:space="preserve">All’ articolo 201 comma 1 </w:t>
      </w:r>
      <w:r w:rsidRPr="0077214B">
        <w:rPr>
          <w:rFonts w:ascii="Bookman Old Style" w:eastAsia="Calibri" w:hAnsi="Bookman Old Style" w:cs="Times New Roman"/>
          <w:bCs/>
        </w:rPr>
        <w:t>del decreto legislativo 30 aprile 1992, n. 285</w:t>
      </w:r>
      <w:r w:rsidRPr="0077214B">
        <w:rPr>
          <w:rFonts w:ascii="Bookman Old Style" w:eastAsia="Times New Roman" w:hAnsi="Bookman Old Style" w:cs="Times New Roman"/>
        </w:rPr>
        <w:t xml:space="preserve"> sono apportate le seguenti modifiche: </w:t>
      </w:r>
    </w:p>
    <w:p w14:paraId="065BB066" w14:textId="77777777" w:rsidR="004758A3" w:rsidRPr="0077214B" w:rsidRDefault="004758A3" w:rsidP="0077214B">
      <w:pPr>
        <w:numPr>
          <w:ilvl w:val="0"/>
          <w:numId w:val="19"/>
        </w:numPr>
        <w:spacing w:after="80"/>
        <w:jc w:val="both"/>
        <w:rPr>
          <w:rFonts w:ascii="Bookman Old Style" w:eastAsia="Calibri" w:hAnsi="Bookman Old Style" w:cs="Times New Roman"/>
        </w:rPr>
      </w:pPr>
      <w:r w:rsidRPr="0077214B">
        <w:rPr>
          <w:rFonts w:ascii="Bookman Old Style" w:eastAsia="Times New Roman" w:hAnsi="Bookman Old Style" w:cs="Times New Roman"/>
        </w:rPr>
        <w:t>le parole</w:t>
      </w:r>
      <w:r w:rsidRPr="0077214B">
        <w:rPr>
          <w:rFonts w:ascii="Bookman Old Style" w:eastAsia="Times New Roman" w:hAnsi="Bookman Old Style" w:cs="Times New Roman"/>
          <w:i/>
        </w:rPr>
        <w:t>: “</w:t>
      </w:r>
      <w:r w:rsidRPr="0077214B">
        <w:rPr>
          <w:rFonts w:ascii="Bookman Old Style" w:eastAsia="Times New Roman" w:hAnsi="Bookman Old Style" w:cs="Times New Roman"/>
        </w:rPr>
        <w:t>entro novanta giorni dall'accertamento</w:t>
      </w:r>
      <w:r w:rsidRPr="0077214B">
        <w:rPr>
          <w:rFonts w:ascii="Bookman Old Style" w:eastAsia="Times New Roman" w:hAnsi="Bookman Old Style" w:cs="Times New Roman"/>
          <w:i/>
        </w:rPr>
        <w:t>”</w:t>
      </w:r>
      <w:r w:rsidRPr="0077214B">
        <w:rPr>
          <w:rFonts w:ascii="Bookman Old Style" w:eastAsia="Times New Roman" w:hAnsi="Bookman Old Style" w:cs="Times New Roman"/>
        </w:rPr>
        <w:t xml:space="preserve"> sono sostituite dalle seguenti</w:t>
      </w:r>
      <w:r w:rsidRPr="0077214B">
        <w:rPr>
          <w:rFonts w:ascii="Bookman Old Style" w:eastAsia="Times New Roman" w:hAnsi="Bookman Old Style" w:cs="Times New Roman"/>
          <w:i/>
        </w:rPr>
        <w:t>: “entro centocinquanta giorni dall’accertamento”</w:t>
      </w:r>
      <w:r w:rsidRPr="0077214B">
        <w:rPr>
          <w:rFonts w:ascii="Bookman Old Style" w:eastAsia="Times New Roman" w:hAnsi="Bookman Old Style" w:cs="Times New Roman"/>
        </w:rPr>
        <w:t xml:space="preserve">; </w:t>
      </w:r>
    </w:p>
    <w:p w14:paraId="068AEFC2" w14:textId="77777777" w:rsidR="004758A3" w:rsidRPr="0077214B" w:rsidRDefault="004758A3" w:rsidP="0077214B">
      <w:pPr>
        <w:numPr>
          <w:ilvl w:val="0"/>
          <w:numId w:val="19"/>
        </w:numPr>
        <w:spacing w:after="80"/>
        <w:jc w:val="both"/>
        <w:rPr>
          <w:rFonts w:ascii="Bookman Old Style" w:eastAsia="Calibri" w:hAnsi="Bookman Old Style" w:cs="Times New Roman"/>
        </w:rPr>
      </w:pPr>
      <w:r w:rsidRPr="0077214B">
        <w:rPr>
          <w:rFonts w:ascii="Bookman Old Style" w:eastAsia="Times New Roman" w:hAnsi="Bookman Old Style" w:cs="Times New Roman"/>
        </w:rPr>
        <w:t>le parole: “la notificazione può essere effettuata agli stessi entro novanta giorni dalla data</w:t>
      </w:r>
      <w:r w:rsidRPr="0077214B">
        <w:rPr>
          <w:rFonts w:ascii="Bookman Old Style" w:eastAsia="Times New Roman" w:hAnsi="Bookman Old Style" w:cs="Times New Roman"/>
          <w:i/>
        </w:rPr>
        <w:t>”</w:t>
      </w:r>
      <w:r w:rsidRPr="0077214B">
        <w:rPr>
          <w:rFonts w:ascii="Bookman Old Style" w:eastAsia="Times New Roman" w:hAnsi="Bookman Old Style" w:cs="Times New Roman"/>
        </w:rPr>
        <w:t xml:space="preserve"> sono sostituite dalle seguenti: “</w:t>
      </w:r>
      <w:r w:rsidRPr="0077214B">
        <w:rPr>
          <w:rFonts w:ascii="Bookman Old Style" w:eastAsia="Times New Roman" w:hAnsi="Bookman Old Style" w:cs="Times New Roman"/>
          <w:i/>
        </w:rPr>
        <w:t>la notificazione può essere effettuata agli stessi entro centocinquanta giorni dalla data”.</w:t>
      </w:r>
    </w:p>
    <w:p w14:paraId="1D00C8DA" w14:textId="77777777" w:rsidR="004758A3" w:rsidRPr="0077214B" w:rsidRDefault="004758A3" w:rsidP="0077214B">
      <w:pPr>
        <w:spacing w:after="80"/>
        <w:jc w:val="center"/>
        <w:rPr>
          <w:rFonts w:ascii="Bookman Old Style" w:hAnsi="Bookman Old Style"/>
          <w:b/>
          <w:bCs/>
        </w:rPr>
      </w:pPr>
      <w:r w:rsidRPr="0077214B">
        <w:rPr>
          <w:rFonts w:ascii="Bookman Old Style" w:hAnsi="Bookman Old Style"/>
          <w:b/>
          <w:bCs/>
        </w:rPr>
        <w:t>Motivazione</w:t>
      </w:r>
    </w:p>
    <w:p w14:paraId="619792F9" w14:textId="6145F278" w:rsidR="004758A3" w:rsidRPr="0077214B" w:rsidRDefault="004758A3" w:rsidP="0077214B">
      <w:pPr>
        <w:spacing w:after="80"/>
        <w:jc w:val="both"/>
        <w:rPr>
          <w:rFonts w:ascii="Bookman Old Style" w:eastAsia="Calibri" w:hAnsi="Bookman Old Style" w:cs="Times New Roman"/>
          <w:i/>
          <w:iCs/>
        </w:rPr>
      </w:pPr>
      <w:r w:rsidRPr="0077214B">
        <w:rPr>
          <w:rFonts w:ascii="Bookman Old Style" w:eastAsia="Times New Roman" w:hAnsi="Bookman Old Style" w:cs="Times New Roman"/>
          <w:i/>
          <w:iCs/>
        </w:rPr>
        <w:t xml:space="preserve">È </w:t>
      </w:r>
      <w:r w:rsidR="00EC6237">
        <w:rPr>
          <w:rFonts w:ascii="Bookman Old Style" w:eastAsia="Times New Roman" w:hAnsi="Bookman Old Style" w:cs="Times New Roman"/>
          <w:i/>
          <w:iCs/>
        </w:rPr>
        <w:t>necessario</w:t>
      </w:r>
      <w:r w:rsidRPr="0077214B">
        <w:rPr>
          <w:rFonts w:ascii="Bookman Old Style" w:eastAsia="Times New Roman" w:hAnsi="Bookman Old Style" w:cs="Times New Roman"/>
          <w:i/>
          <w:iCs/>
        </w:rPr>
        <w:t xml:space="preserve"> che </w:t>
      </w:r>
      <w:r w:rsidR="00EC6237">
        <w:rPr>
          <w:rFonts w:ascii="Bookman Old Style" w:eastAsia="Times New Roman" w:hAnsi="Bookman Old Style" w:cs="Times New Roman"/>
          <w:i/>
          <w:iCs/>
        </w:rPr>
        <w:t xml:space="preserve">gli enti locali </w:t>
      </w:r>
      <w:r w:rsidRPr="0077214B">
        <w:rPr>
          <w:rFonts w:ascii="Bookman Old Style" w:eastAsia="Times New Roman" w:hAnsi="Bookman Old Style" w:cs="Times New Roman"/>
          <w:i/>
          <w:iCs/>
        </w:rPr>
        <w:t xml:space="preserve">abbiano la possibilità di avere più giorni di tempo per l'invio dei verbali, anche perché sussistono criticità nei grandi comuni dove i sistemi di telecamere per autovelox fissi, Ztl, corsie bus producono moli elevate di verbali che </w:t>
      </w:r>
      <w:r w:rsidR="00A858C2">
        <w:rPr>
          <w:rFonts w:ascii="Bookman Old Style" w:eastAsia="Times New Roman" w:hAnsi="Bookman Old Style" w:cs="Times New Roman"/>
          <w:i/>
          <w:iCs/>
        </w:rPr>
        <w:t xml:space="preserve">necessitano di </w:t>
      </w:r>
      <w:r w:rsidR="00C63CE1">
        <w:rPr>
          <w:rFonts w:ascii="Bookman Old Style" w:eastAsia="Times New Roman" w:hAnsi="Bookman Old Style" w:cs="Times New Roman"/>
          <w:i/>
          <w:iCs/>
        </w:rPr>
        <w:t xml:space="preserve">onerose attività di elaborazione per la notifica da parte dei </w:t>
      </w:r>
      <w:r w:rsidRPr="0077214B">
        <w:rPr>
          <w:rFonts w:ascii="Bookman Old Style" w:eastAsia="Times New Roman" w:hAnsi="Bookman Old Style" w:cs="Times New Roman"/>
          <w:i/>
          <w:iCs/>
        </w:rPr>
        <w:t>Comandi di Polizia Locale.</w:t>
      </w:r>
    </w:p>
    <w:p w14:paraId="674A0BE3" w14:textId="77777777" w:rsidR="004758A3" w:rsidRPr="0077214B" w:rsidRDefault="004758A3" w:rsidP="0077214B">
      <w:pPr>
        <w:spacing w:after="80"/>
        <w:jc w:val="both"/>
        <w:rPr>
          <w:rFonts w:ascii="Bookman Old Style" w:eastAsia="Calibri" w:hAnsi="Bookman Old Style" w:cs="Bookman Old Style"/>
          <w:b/>
          <w:iCs/>
          <w:u w:val="single"/>
        </w:rPr>
      </w:pPr>
    </w:p>
    <w:p w14:paraId="1EB6E82C" w14:textId="7F4CB6D5" w:rsidR="004758A3" w:rsidRPr="0077214B" w:rsidRDefault="004758A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31" w:name="_Toc121214336"/>
      <w:r w:rsidRPr="0077214B">
        <w:rPr>
          <w:rFonts w:ascii="Bookman Old Style" w:hAnsi="Bookman Old Style"/>
          <w:b/>
          <w:bCs/>
          <w:color w:val="2F5496" w:themeColor="accent1" w:themeShade="BF"/>
          <w:sz w:val="22"/>
          <w:szCs w:val="22"/>
        </w:rPr>
        <w:t>Tassa di circolazione veicoli polizia locale</w:t>
      </w:r>
      <w:bookmarkEnd w:id="131"/>
    </w:p>
    <w:p w14:paraId="69F59841" w14:textId="77777777" w:rsidR="004758A3" w:rsidRPr="0077214B" w:rsidRDefault="004758A3" w:rsidP="0077214B">
      <w:pPr>
        <w:spacing w:after="80"/>
        <w:jc w:val="both"/>
        <w:rPr>
          <w:rFonts w:ascii="Bookman Old Style" w:eastAsia="Times New Roman" w:hAnsi="Bookman Old Style"/>
          <w:i/>
          <w:color w:val="000000"/>
        </w:rPr>
      </w:pPr>
      <w:r w:rsidRPr="0077214B">
        <w:rPr>
          <w:rFonts w:ascii="Bookman Old Style" w:eastAsia="Times New Roman" w:hAnsi="Bookman Old Style"/>
          <w:i/>
          <w:color w:val="000000"/>
        </w:rPr>
        <w:t>Dopo l’articolo 92 ter è inserito il seguente articolo:</w:t>
      </w:r>
    </w:p>
    <w:p w14:paraId="0DDEDF44" w14:textId="77777777" w:rsidR="004758A3" w:rsidRPr="00A705BE" w:rsidRDefault="004758A3" w:rsidP="00A705BE">
      <w:pPr>
        <w:autoSpaceDE w:val="0"/>
        <w:autoSpaceDN w:val="0"/>
        <w:adjustRightInd w:val="0"/>
        <w:spacing w:after="80"/>
        <w:jc w:val="center"/>
        <w:rPr>
          <w:rFonts w:ascii="Bookman Old Style" w:eastAsia="Calibri" w:hAnsi="Bookman Old Style" w:cs="Calibri"/>
          <w:bCs/>
          <w:i/>
          <w:iCs/>
        </w:rPr>
      </w:pPr>
      <w:r w:rsidRPr="00A705BE">
        <w:rPr>
          <w:rFonts w:ascii="Bookman Old Style" w:eastAsia="Calibri" w:hAnsi="Bookman Old Style" w:cs="Calibri"/>
          <w:bCs/>
          <w:i/>
          <w:iCs/>
        </w:rPr>
        <w:t>“Art. 92 quater – Tassa di circolazione veicoli della Polizia Locale</w:t>
      </w:r>
    </w:p>
    <w:p w14:paraId="3A27EB86" w14:textId="6D2E23FE" w:rsidR="004758A3" w:rsidRPr="0077214B" w:rsidRDefault="000212C7" w:rsidP="0077214B">
      <w:pPr>
        <w:autoSpaceDE w:val="0"/>
        <w:autoSpaceDN w:val="0"/>
        <w:adjustRightInd w:val="0"/>
        <w:spacing w:after="80"/>
        <w:jc w:val="both"/>
        <w:rPr>
          <w:rFonts w:ascii="Bookman Old Style" w:eastAsia="Calibri" w:hAnsi="Bookman Old Style" w:cs="Bookman Old Style"/>
          <w:highlight w:val="white"/>
        </w:rPr>
      </w:pPr>
      <w:r>
        <w:rPr>
          <w:rFonts w:ascii="Bookman Old Style" w:eastAsia="Calibri" w:hAnsi="Bookman Old Style" w:cs="Bookman Old Style"/>
          <w:iCs/>
        </w:rPr>
        <w:t xml:space="preserve">1. </w:t>
      </w:r>
      <w:r w:rsidR="004758A3" w:rsidRPr="0077214B">
        <w:rPr>
          <w:rFonts w:ascii="Bookman Old Style" w:eastAsia="Calibri" w:hAnsi="Bookman Old Style" w:cs="Bookman Old Style"/>
          <w:iCs/>
        </w:rPr>
        <w:t xml:space="preserve">All’articolo 17, primo comma, del Decreto del Presidente della Repubblica 5 febbraio 1953, n. 39, dopo la lettera h) è aggiunta la seguente lettera “ </w:t>
      </w:r>
      <w:r w:rsidR="004758A3" w:rsidRPr="0077214B">
        <w:rPr>
          <w:rFonts w:ascii="Bookman Old Style" w:eastAsia="Calibri" w:hAnsi="Bookman Old Style" w:cs="Bookman Old Style"/>
        </w:rPr>
        <w:t>i)</w:t>
      </w:r>
      <w:r w:rsidR="004758A3" w:rsidRPr="0077214B">
        <w:rPr>
          <w:rFonts w:ascii="Bookman Old Style" w:eastAsia="Calibri" w:hAnsi="Bookman Old Style" w:cs="Bookman Old Style"/>
          <w:highlight w:val="white"/>
        </w:rPr>
        <w:t xml:space="preserve"> veicoli in dotazione della Polizia Locale provvisti delle targhe di immatricolazione previste dal decreto del Ministero delle Infrastrutture e dei Trasporti 27 aprile 2006, n. 209”</w:t>
      </w:r>
    </w:p>
    <w:p w14:paraId="027F7D26" w14:textId="77777777" w:rsidR="004758A3" w:rsidRPr="0077214B" w:rsidRDefault="004758A3" w:rsidP="0077214B">
      <w:pPr>
        <w:spacing w:after="80"/>
        <w:jc w:val="center"/>
        <w:rPr>
          <w:rFonts w:ascii="Bookman Old Style" w:hAnsi="Bookman Old Style"/>
          <w:b/>
          <w:bCs/>
        </w:rPr>
      </w:pPr>
      <w:r w:rsidRPr="0077214B">
        <w:rPr>
          <w:rFonts w:ascii="Bookman Old Style" w:hAnsi="Bookman Old Style"/>
          <w:b/>
          <w:bCs/>
        </w:rPr>
        <w:t>Motivazione</w:t>
      </w:r>
    </w:p>
    <w:p w14:paraId="17C4DB43" w14:textId="599BACE5" w:rsidR="004758A3" w:rsidRPr="0077214B" w:rsidRDefault="004758A3" w:rsidP="0077214B">
      <w:pPr>
        <w:autoSpaceDE w:val="0"/>
        <w:autoSpaceDN w:val="0"/>
        <w:adjustRightInd w:val="0"/>
        <w:spacing w:after="80"/>
        <w:jc w:val="both"/>
        <w:rPr>
          <w:rFonts w:ascii="Bookman Old Style" w:eastAsia="Calibri" w:hAnsi="Bookman Old Style" w:cs="Bookman Old Style"/>
          <w:i/>
          <w:iCs/>
          <w:color w:val="000000"/>
          <w:highlight w:val="white"/>
        </w:rPr>
      </w:pPr>
      <w:r w:rsidRPr="0077214B">
        <w:rPr>
          <w:rFonts w:ascii="Bookman Old Style" w:eastAsia="Calibri" w:hAnsi="Bookman Old Style" w:cs="Bookman Old Style"/>
          <w:i/>
          <w:iCs/>
          <w:color w:val="000000"/>
          <w:highlight w:val="white"/>
        </w:rPr>
        <w:t>L’emendamento si pone l’obiettivo di includere, nell’elenco dei veicoli esenti dal pagamento della tassa di circolazione, anche quelli in uso della Polizia Locale e provvisti della speciale targa di immatricolazione. Ad oggi tali veicoli sono assoggettati al pagamento della tassa in questione, nonostante siano destinati all’impiego in attività di servizio.</w:t>
      </w:r>
      <w:r w:rsidR="00901A9A">
        <w:rPr>
          <w:rFonts w:ascii="Bookman Old Style" w:eastAsia="Calibri" w:hAnsi="Bookman Old Style" w:cs="Bookman Old Style"/>
          <w:i/>
          <w:iCs/>
          <w:color w:val="000000"/>
          <w:highlight w:val="white"/>
        </w:rPr>
        <w:t xml:space="preserve"> </w:t>
      </w:r>
    </w:p>
    <w:p w14:paraId="761C58A7" w14:textId="77777777" w:rsidR="004758A3" w:rsidRPr="0077214B" w:rsidRDefault="004758A3" w:rsidP="0077214B">
      <w:pPr>
        <w:spacing w:after="80"/>
        <w:rPr>
          <w:rFonts w:ascii="Bookman Old Style" w:eastAsia="Calibri" w:hAnsi="Bookman Old Style" w:cs="Calibri"/>
        </w:rPr>
      </w:pPr>
    </w:p>
    <w:p w14:paraId="3881EB2A" w14:textId="7ACC8A24" w:rsidR="004758A3" w:rsidRPr="0077214B" w:rsidRDefault="004758A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32" w:name="_Toc121214337"/>
      <w:r w:rsidRPr="0077214B">
        <w:rPr>
          <w:rFonts w:ascii="Bookman Old Style" w:hAnsi="Bookman Old Style"/>
          <w:b/>
          <w:bCs/>
          <w:color w:val="2F5496" w:themeColor="accent1" w:themeShade="BF"/>
          <w:sz w:val="22"/>
          <w:szCs w:val="22"/>
        </w:rPr>
        <w:t>Modifiche al fondo contro l’incidentalità notturna</w:t>
      </w:r>
      <w:bookmarkEnd w:id="132"/>
    </w:p>
    <w:p w14:paraId="6B2784B2" w14:textId="77777777" w:rsidR="004758A3" w:rsidRPr="0077214B" w:rsidRDefault="004758A3" w:rsidP="0077214B">
      <w:pPr>
        <w:spacing w:after="80"/>
        <w:jc w:val="both"/>
        <w:rPr>
          <w:rFonts w:ascii="Bookman Old Style" w:eastAsia="Times New Roman" w:hAnsi="Bookman Old Style"/>
          <w:i/>
          <w:color w:val="000000"/>
        </w:rPr>
      </w:pPr>
      <w:r w:rsidRPr="0077214B">
        <w:rPr>
          <w:rFonts w:ascii="Bookman Old Style" w:eastAsia="Times New Roman" w:hAnsi="Bookman Old Style"/>
          <w:i/>
          <w:color w:val="000000"/>
        </w:rPr>
        <w:t>Dopo l’articolo 92 quater è inserito il seguente articolo:</w:t>
      </w:r>
    </w:p>
    <w:p w14:paraId="661A83B8" w14:textId="1E6AE24A" w:rsidR="004758A3" w:rsidRPr="000212C7" w:rsidRDefault="004758A3" w:rsidP="000212C7">
      <w:pPr>
        <w:pStyle w:val="xmsonormal0"/>
        <w:spacing w:before="0" w:beforeAutospacing="0" w:after="80" w:afterAutospacing="0" w:line="259" w:lineRule="auto"/>
        <w:jc w:val="center"/>
        <w:rPr>
          <w:rFonts w:ascii="Bookman Old Style" w:hAnsi="Bookman Old Style"/>
          <w:i/>
          <w:iCs/>
          <w:sz w:val="22"/>
          <w:szCs w:val="22"/>
        </w:rPr>
      </w:pPr>
      <w:r w:rsidRPr="000212C7">
        <w:rPr>
          <w:rFonts w:ascii="Bookman Old Style" w:hAnsi="Bookman Old Style"/>
          <w:i/>
          <w:iCs/>
          <w:sz w:val="22"/>
          <w:szCs w:val="22"/>
        </w:rPr>
        <w:t>“Art. 92 quinquies - Modifiche al Fondo contro l’incidentalità notturna</w:t>
      </w:r>
    </w:p>
    <w:p w14:paraId="74299973" w14:textId="13526C91" w:rsidR="004758A3" w:rsidRPr="0077214B" w:rsidRDefault="004758A3" w:rsidP="0077214B">
      <w:pPr>
        <w:spacing w:after="80"/>
        <w:jc w:val="both"/>
        <w:rPr>
          <w:rFonts w:ascii="Bookman Old Style" w:hAnsi="Bookman Old Style"/>
        </w:rPr>
      </w:pPr>
      <w:r w:rsidRPr="0077214B">
        <w:rPr>
          <w:rFonts w:ascii="Bookman Old Style" w:hAnsi="Bookman Old Style"/>
        </w:rPr>
        <w:t>1.</w:t>
      </w:r>
      <w:r w:rsidR="000212C7">
        <w:rPr>
          <w:rFonts w:ascii="Bookman Old Style" w:hAnsi="Bookman Old Style"/>
        </w:rPr>
        <w:t xml:space="preserve"> </w:t>
      </w:r>
      <w:r w:rsidRPr="0077214B">
        <w:rPr>
          <w:rFonts w:ascii="Bookman Old Style" w:hAnsi="Bookman Old Style"/>
        </w:rPr>
        <w:t xml:space="preserve">Al comma 3, articolo 6 bis, del decreto legge 3 agosto 2007, n. 117 convertito con modificazioni nella legge 2 ottobre 2007, n. 160, dopo le parole “Forze di polizia di cui all'articolo 12, comma 1, lettere a), b), c), d)” sono aggiunte le seguenti “, e)” </w:t>
      </w:r>
    </w:p>
    <w:p w14:paraId="57007A8D" w14:textId="77777777" w:rsidR="004758A3" w:rsidRPr="0077214B" w:rsidRDefault="004758A3" w:rsidP="0077214B">
      <w:pPr>
        <w:spacing w:after="80"/>
        <w:jc w:val="center"/>
        <w:rPr>
          <w:rFonts w:ascii="Bookman Old Style" w:hAnsi="Bookman Old Style"/>
          <w:b/>
          <w:bCs/>
        </w:rPr>
      </w:pPr>
      <w:r w:rsidRPr="0077214B">
        <w:rPr>
          <w:rFonts w:ascii="Bookman Old Style" w:hAnsi="Bookman Old Style"/>
          <w:b/>
          <w:bCs/>
        </w:rPr>
        <w:t>Motivazione</w:t>
      </w:r>
    </w:p>
    <w:p w14:paraId="30EACE9C" w14:textId="00D80FDE" w:rsidR="004758A3" w:rsidRPr="0077214B" w:rsidRDefault="004758A3" w:rsidP="0077214B">
      <w:pPr>
        <w:spacing w:after="80"/>
        <w:jc w:val="both"/>
        <w:rPr>
          <w:rFonts w:ascii="Bookman Old Style" w:hAnsi="Bookman Old Style"/>
          <w:i/>
          <w:iCs/>
          <w:color w:val="00000A"/>
        </w:rPr>
      </w:pPr>
      <w:r w:rsidRPr="0077214B">
        <w:rPr>
          <w:rFonts w:ascii="Bookman Old Style" w:hAnsi="Bookman Old Style"/>
          <w:i/>
          <w:iCs/>
          <w:color w:val="00000A"/>
        </w:rPr>
        <w:t>Nel 2009, a seguito delle modifiche all’articolo 6 bis del D.L. 117/2007 intervenute con la legge n. 94/2009, si è posta una limitazione all’utilizzo delle risorse del Fondo contro l’incidentalità notturna per l’acquisto di materiali, attrezzature e mezzi per le attività di contrasto, prevedendo tale possibilità solo per Polizia di Stato, Arma dei carabinieri, Guardia di Finanza, Polizia penitenziaria. L</w:t>
      </w:r>
      <w:r w:rsidRPr="0077214B">
        <w:rPr>
          <w:rFonts w:ascii="Bookman Old Style" w:hAnsi="Bookman Old Style"/>
          <w:i/>
          <w:iCs/>
          <w:color w:val="000000"/>
        </w:rPr>
        <w:t>a norma infatti richiama espressamente l'articolo 12, comma 1, lettere a), b), c), d) e f-bis del Codice della Strada (d.lgs. 285/92), non contemplando la lettera e) ovvero i Corpi e Servizi di Polizia Municipale.</w:t>
      </w:r>
      <w:r w:rsidR="00901A9A">
        <w:rPr>
          <w:rFonts w:ascii="Bookman Old Style" w:hAnsi="Bookman Old Style"/>
          <w:i/>
          <w:iCs/>
          <w:color w:val="000000"/>
        </w:rPr>
        <w:t xml:space="preserve"> </w:t>
      </w:r>
      <w:r w:rsidRPr="0077214B">
        <w:rPr>
          <w:rFonts w:ascii="Bookman Old Style" w:hAnsi="Bookman Old Style"/>
          <w:i/>
          <w:iCs/>
          <w:color w:val="000000"/>
        </w:rPr>
        <w:t>Si ricorda che le</w:t>
      </w:r>
      <w:r w:rsidRPr="0077214B">
        <w:rPr>
          <w:rFonts w:ascii="Bookman Old Style" w:hAnsi="Bookman Old Style"/>
          <w:i/>
          <w:iCs/>
        </w:rPr>
        <w:t xml:space="preserve"> Polizie Municipali, oltre a condurre costantemente ogni anno attività di formazione nelle scuole,</w:t>
      </w:r>
      <w:r w:rsidR="00901A9A">
        <w:rPr>
          <w:rFonts w:ascii="Bookman Old Style" w:hAnsi="Bookman Old Style"/>
          <w:i/>
          <w:iCs/>
        </w:rPr>
        <w:t xml:space="preserve"> </w:t>
      </w:r>
      <w:r w:rsidRPr="0077214B">
        <w:rPr>
          <w:rFonts w:ascii="Bookman Old Style" w:hAnsi="Bookman Old Style"/>
          <w:i/>
          <w:iCs/>
        </w:rPr>
        <w:t xml:space="preserve">campagne di educazione stradale a livello locale, organizzare servizi di controllo sul territorio con l’utilizzo degli etilometri, stipulare convenzioni con i laboratori per l’analisi e i test atti a determinare l’uso di sostanze stupefacenti anche in occasione dei rilievi a seguito della incidentalità stradale, sono riconosciute quali soggetti che svolgono un’attività preminente nel contrasto all’incidentalità in area urbana, come anche individuato nell’accordo siglato da ANCI e Ministero dell’Interno il 9 gennaio 2020 per il quale </w:t>
      </w:r>
      <w:r w:rsidRPr="0077214B">
        <w:rPr>
          <w:rFonts w:ascii="Bookman Old Style" w:hAnsi="Bookman Old Style"/>
          <w:i/>
          <w:iCs/>
          <w:color w:val="00000A"/>
        </w:rPr>
        <w:t>le Polizie Municipali sono individuate in tutti i Comuni Capoluogo di regione e in almeno la metà dei capoluoghi di provincia come i soggetti deputati a intervenire h24 in tutti i casi di incidentalità stradale in area urbana. Da ultimo, anche il recente Avviso per la selezione di progetti di prevenzione, sperimentazione e contrasto all'incidentalità stradale alcol e droga correlata pubblicato dal Dipartimento delle politiche antidroga della Presidenza del Consiglio individua quale target esclusivo i Comuni ma, a causa di tale limitazione, non consente alle Polizie Municipali di poter essere protagoniste e crea non poche difficoltà nella preparazione delle proposte progettuali.</w:t>
      </w:r>
    </w:p>
    <w:p w14:paraId="3B04F16B" w14:textId="77777777" w:rsidR="004758A3" w:rsidRPr="0077214B" w:rsidRDefault="004758A3" w:rsidP="0077214B">
      <w:pPr>
        <w:spacing w:after="80"/>
        <w:jc w:val="both"/>
        <w:rPr>
          <w:rFonts w:ascii="Bookman Old Style" w:hAnsi="Bookman Old Style"/>
        </w:rPr>
      </w:pPr>
    </w:p>
    <w:p w14:paraId="47AE6FEF" w14:textId="79FE1087" w:rsidR="004758A3" w:rsidRPr="00B20C8E" w:rsidRDefault="004758A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33" w:name="_Toc121214338"/>
      <w:r w:rsidRPr="00B20C8E">
        <w:rPr>
          <w:rFonts w:ascii="Bookman Old Style" w:hAnsi="Bookman Old Style"/>
          <w:b/>
          <w:bCs/>
          <w:color w:val="2F5496" w:themeColor="accent1" w:themeShade="BF"/>
          <w:sz w:val="22"/>
          <w:szCs w:val="22"/>
        </w:rPr>
        <w:t xml:space="preserve">Accesso banche dati </w:t>
      </w:r>
      <w:r w:rsidR="00EC7AC3" w:rsidRPr="00B20C8E">
        <w:rPr>
          <w:rFonts w:ascii="Bookman Old Style" w:hAnsi="Bookman Old Style"/>
          <w:b/>
          <w:bCs/>
          <w:color w:val="2F5496" w:themeColor="accent1" w:themeShade="BF"/>
          <w:sz w:val="22"/>
          <w:szCs w:val="22"/>
        </w:rPr>
        <w:t>per esigenze di polizia locale</w:t>
      </w:r>
      <w:bookmarkEnd w:id="133"/>
    </w:p>
    <w:p w14:paraId="0A090A68" w14:textId="77777777" w:rsidR="004758A3" w:rsidRPr="00B20C8E" w:rsidRDefault="004758A3" w:rsidP="0077214B">
      <w:pPr>
        <w:spacing w:after="80"/>
        <w:jc w:val="both"/>
        <w:rPr>
          <w:rFonts w:ascii="Bookman Old Style" w:eastAsia="Times New Roman" w:hAnsi="Bookman Old Style"/>
          <w:i/>
          <w:color w:val="000000"/>
        </w:rPr>
      </w:pPr>
      <w:r w:rsidRPr="00B20C8E">
        <w:rPr>
          <w:rFonts w:ascii="Bookman Old Style" w:eastAsia="Times New Roman" w:hAnsi="Bookman Old Style"/>
          <w:i/>
          <w:color w:val="000000"/>
        </w:rPr>
        <w:t>Dopo l’articolo 92 quinquies è inserito il seguente articolo:</w:t>
      </w:r>
    </w:p>
    <w:p w14:paraId="17E0DE72" w14:textId="59FD641A" w:rsidR="004758A3" w:rsidRPr="00EC7AC3" w:rsidRDefault="004758A3" w:rsidP="00EC7AC3">
      <w:pPr>
        <w:pStyle w:val="xmsonormal0"/>
        <w:spacing w:before="0" w:beforeAutospacing="0" w:after="80" w:afterAutospacing="0" w:line="259" w:lineRule="auto"/>
        <w:jc w:val="center"/>
        <w:rPr>
          <w:rFonts w:ascii="Bookman Old Style" w:hAnsi="Bookman Old Style"/>
          <w:i/>
          <w:iCs/>
          <w:sz w:val="22"/>
          <w:szCs w:val="22"/>
        </w:rPr>
      </w:pPr>
      <w:r w:rsidRPr="00B20C8E">
        <w:rPr>
          <w:rFonts w:ascii="Bookman Old Style" w:hAnsi="Bookman Old Style"/>
          <w:i/>
          <w:iCs/>
          <w:sz w:val="22"/>
          <w:szCs w:val="22"/>
        </w:rPr>
        <w:t>“Art. 92 sexies – Accesso gratuito banca dati MI</w:t>
      </w:r>
      <w:r w:rsidR="00B20C8E" w:rsidRPr="00B20C8E">
        <w:rPr>
          <w:rFonts w:ascii="Bookman Old Style" w:hAnsi="Bookman Old Style"/>
          <w:i/>
          <w:iCs/>
          <w:sz w:val="22"/>
          <w:szCs w:val="22"/>
        </w:rPr>
        <w:t>T</w:t>
      </w:r>
      <w:r w:rsidR="00B20C8E">
        <w:rPr>
          <w:rFonts w:ascii="Bookman Old Style" w:hAnsi="Bookman Old Style"/>
          <w:i/>
          <w:iCs/>
          <w:sz w:val="22"/>
          <w:szCs w:val="22"/>
        </w:rPr>
        <w:t xml:space="preserve"> </w:t>
      </w:r>
      <w:r w:rsidRPr="00EC7AC3">
        <w:rPr>
          <w:rFonts w:ascii="Bookman Old Style" w:hAnsi="Bookman Old Style"/>
          <w:i/>
          <w:iCs/>
          <w:sz w:val="22"/>
          <w:szCs w:val="22"/>
        </w:rPr>
        <w:t>per Polizia locale</w:t>
      </w:r>
    </w:p>
    <w:p w14:paraId="4A524264" w14:textId="4B06735C" w:rsidR="004758A3" w:rsidRPr="0077214B" w:rsidRDefault="004758A3" w:rsidP="0077214B">
      <w:pPr>
        <w:pStyle w:val="NormaleWeb"/>
        <w:spacing w:before="0" w:beforeAutospacing="0" w:after="80" w:afterAutospacing="0" w:line="259" w:lineRule="auto"/>
        <w:jc w:val="both"/>
        <w:rPr>
          <w:rFonts w:ascii="Bookman Old Style" w:hAnsi="Bookman Old Style"/>
          <w:color w:val="000000"/>
          <w:sz w:val="22"/>
          <w:szCs w:val="22"/>
        </w:rPr>
      </w:pPr>
      <w:r w:rsidRPr="0077214B">
        <w:rPr>
          <w:rFonts w:ascii="Bookman Old Style" w:hAnsi="Bookman Old Style"/>
          <w:color w:val="000000"/>
          <w:sz w:val="22"/>
          <w:szCs w:val="22"/>
        </w:rPr>
        <w:t>1.</w:t>
      </w:r>
      <w:r w:rsidR="00EC7AC3">
        <w:rPr>
          <w:rFonts w:ascii="Bookman Old Style" w:hAnsi="Bookman Old Style"/>
          <w:color w:val="000000"/>
          <w:sz w:val="22"/>
          <w:szCs w:val="22"/>
        </w:rPr>
        <w:t xml:space="preserve"> </w:t>
      </w:r>
      <w:r w:rsidRPr="0077214B">
        <w:rPr>
          <w:rFonts w:ascii="Bookman Old Style" w:hAnsi="Bookman Old Style"/>
          <w:color w:val="000000"/>
          <w:sz w:val="22"/>
          <w:szCs w:val="22"/>
        </w:rPr>
        <w:t>La disposizione contenuta nell’articolo 1, comma 2, del DPR 28.9.1994 n. 634 recante Regolamento per l’ammissione all’utenza del servizio di informatica del centro di elaborazione dati della Direzione generale della motorizzazione civile e dei trasporti in concessione, si applica anche agli enti locali limitatamente all’espletamento delle funzioni di Polizia Locale”.</w:t>
      </w:r>
    </w:p>
    <w:p w14:paraId="09978357" w14:textId="77777777" w:rsidR="004758A3" w:rsidRPr="0077214B" w:rsidRDefault="004758A3" w:rsidP="0077214B">
      <w:pPr>
        <w:spacing w:after="80"/>
        <w:jc w:val="center"/>
        <w:rPr>
          <w:rFonts w:ascii="Bookman Old Style" w:hAnsi="Bookman Old Style"/>
          <w:b/>
          <w:bCs/>
        </w:rPr>
      </w:pPr>
      <w:r w:rsidRPr="0077214B">
        <w:rPr>
          <w:rFonts w:ascii="Bookman Old Style" w:hAnsi="Bookman Old Style"/>
          <w:b/>
          <w:bCs/>
        </w:rPr>
        <w:t>Motivazione</w:t>
      </w:r>
    </w:p>
    <w:p w14:paraId="696C117B" w14:textId="1D1FEDB0" w:rsidR="004758A3" w:rsidRPr="0077214B" w:rsidRDefault="004758A3" w:rsidP="0077214B">
      <w:pPr>
        <w:pStyle w:val="NormaleWeb"/>
        <w:spacing w:before="0" w:beforeAutospacing="0" w:after="80" w:afterAutospacing="0" w:line="259" w:lineRule="auto"/>
        <w:jc w:val="both"/>
        <w:rPr>
          <w:rFonts w:ascii="Bookman Old Style" w:hAnsi="Bookman Old Style"/>
          <w:i/>
          <w:iCs/>
          <w:color w:val="000000"/>
          <w:sz w:val="22"/>
          <w:szCs w:val="22"/>
        </w:rPr>
      </w:pPr>
      <w:r w:rsidRPr="0077214B">
        <w:rPr>
          <w:rFonts w:ascii="Bookman Old Style" w:hAnsi="Bookman Old Style"/>
          <w:i/>
          <w:iCs/>
          <w:color w:val="000000"/>
          <w:sz w:val="22"/>
          <w:szCs w:val="22"/>
        </w:rPr>
        <w:t>La disciplina vigente in materia di accesso alle banche dati pubbliche tenute presso il Ministero delle Infrastrutture e dei Trasporti esclude le amministrazioni comunali (D.lgs. 285/1992 e ss. mm., artt. 225 e 226; D.P.R. 495/1992; D.P.R. 634/1994; D.lgs</w:t>
      </w:r>
      <w:r w:rsidR="00E43E60">
        <w:rPr>
          <w:rFonts w:ascii="Bookman Old Style" w:hAnsi="Bookman Old Style"/>
          <w:i/>
          <w:iCs/>
          <w:color w:val="000000"/>
          <w:sz w:val="22"/>
          <w:szCs w:val="22"/>
        </w:rPr>
        <w:t>.</w:t>
      </w:r>
      <w:r w:rsidRPr="0077214B">
        <w:rPr>
          <w:rFonts w:ascii="Bookman Old Style" w:hAnsi="Bookman Old Style"/>
          <w:i/>
          <w:iCs/>
          <w:color w:val="000000"/>
          <w:sz w:val="22"/>
          <w:szCs w:val="22"/>
        </w:rPr>
        <w:t xml:space="preserve"> 52/2005 e ss.mm., art. 50, co. 1), nell'espletamento delle funzioni di polizia municipale, dal regime di gratuità di cui invece beneficiano gli organi costituzionali, giurisdizionali e le amministrazioni centrali e periferiche dello Stato, ai sensi del D.P.R. 634/1994, art. 1, co. 2, pertanto sottoponendo le prime all'obbligo della corresponsione dei canoni e dei corrispettivi nella misura di cui all'art.10 e con le modalità di cui all'art.11 del richiamato decreto presidenziale. Ciò in ragione di un regime di specialità a cui il legislatore ha voluto sottoporre la materia, per cui tali dati contenuti nell'archivio del CED della Motorizzazione sarebbero coperti da riservatezza e quindi per natura non conoscibili da chiunque. L'estensione ai Comuni del predetto regime di accessibilità al servizio senza aggravio di costi sul bilancio si rende necessaria al fine di perseguire più adeguati livelli di efficacia ed efficienza nello svolgimento delle funzioni di polizia locale di controllo delle autodichiarazioni e certificazioni degli abilitati alla guida dei veicoli, a maggior tutela della sicurezza stradale.</w:t>
      </w:r>
    </w:p>
    <w:p w14:paraId="4784561E" w14:textId="77777777" w:rsidR="004758A3" w:rsidRPr="0077214B" w:rsidRDefault="004758A3" w:rsidP="0077214B">
      <w:pPr>
        <w:spacing w:after="80"/>
        <w:rPr>
          <w:rFonts w:ascii="Bookman Old Style" w:hAnsi="Bookman Old Style"/>
          <w:color w:val="2E74B5" w:themeColor="accent5" w:themeShade="BF"/>
        </w:rPr>
      </w:pPr>
    </w:p>
    <w:p w14:paraId="37106B87" w14:textId="77777777" w:rsidR="00620483" w:rsidRDefault="00620483">
      <w:pPr>
        <w:rPr>
          <w:rFonts w:ascii="Bookman Old Style" w:eastAsiaTheme="majorEastAsia" w:hAnsi="Bookman Old Style" w:cstheme="majorBidi"/>
          <w:b/>
          <w:bCs/>
          <w:color w:val="2F5496" w:themeColor="accent1" w:themeShade="BF"/>
        </w:rPr>
      </w:pPr>
      <w:r>
        <w:rPr>
          <w:rFonts w:ascii="Bookman Old Style" w:hAnsi="Bookman Old Style"/>
          <w:b/>
          <w:bCs/>
          <w:color w:val="2F5496" w:themeColor="accent1" w:themeShade="BF"/>
        </w:rPr>
        <w:br w:type="page"/>
      </w:r>
    </w:p>
    <w:p w14:paraId="3AE8A93F" w14:textId="2ABC13A0" w:rsidR="004758A3" w:rsidRPr="0077214B" w:rsidRDefault="004758A3" w:rsidP="009E1B8B">
      <w:pPr>
        <w:pStyle w:val="Titolo3"/>
        <w:numPr>
          <w:ilvl w:val="0"/>
          <w:numId w:val="4"/>
        </w:numPr>
        <w:spacing w:before="0" w:after="80"/>
        <w:ind w:left="0" w:firstLine="0"/>
        <w:rPr>
          <w:rFonts w:ascii="Bookman Old Style" w:hAnsi="Bookman Old Style"/>
          <w:b/>
          <w:bCs/>
          <w:color w:val="2F5496" w:themeColor="accent1" w:themeShade="BF"/>
          <w:sz w:val="22"/>
          <w:szCs w:val="22"/>
        </w:rPr>
      </w:pPr>
      <w:bookmarkStart w:id="134" w:name="_Toc121214339"/>
      <w:r w:rsidRPr="0077214B">
        <w:rPr>
          <w:rFonts w:ascii="Bookman Old Style" w:hAnsi="Bookman Old Style"/>
          <w:b/>
          <w:bCs/>
          <w:color w:val="2F5496" w:themeColor="accent1" w:themeShade="BF"/>
          <w:sz w:val="22"/>
          <w:szCs w:val="22"/>
        </w:rPr>
        <w:t>Beni confiscati alla criminalit</w:t>
      </w:r>
      <w:r w:rsidR="00FB3810">
        <w:rPr>
          <w:rFonts w:ascii="Bookman Old Style" w:hAnsi="Bookman Old Style"/>
          <w:b/>
          <w:bCs/>
          <w:color w:val="2F5496" w:themeColor="accent1" w:themeShade="BF"/>
          <w:sz w:val="22"/>
          <w:szCs w:val="22"/>
        </w:rPr>
        <w:t>à</w:t>
      </w:r>
      <w:r w:rsidRPr="0077214B">
        <w:rPr>
          <w:rFonts w:ascii="Bookman Old Style" w:hAnsi="Bookman Old Style"/>
          <w:b/>
          <w:bCs/>
          <w:color w:val="2F5496" w:themeColor="accent1" w:themeShade="BF"/>
          <w:sz w:val="22"/>
          <w:szCs w:val="22"/>
        </w:rPr>
        <w:t xml:space="preserve"> organizzata</w:t>
      </w:r>
      <w:bookmarkEnd w:id="134"/>
    </w:p>
    <w:p w14:paraId="5BAF9B43" w14:textId="77777777" w:rsidR="004758A3" w:rsidRPr="0077214B" w:rsidRDefault="004758A3" w:rsidP="0077214B">
      <w:pPr>
        <w:spacing w:after="80"/>
        <w:rPr>
          <w:rFonts w:ascii="Bookman Old Style" w:hAnsi="Bookman Old Style"/>
          <w:i/>
          <w:iCs/>
        </w:rPr>
      </w:pPr>
      <w:r w:rsidRPr="0077214B">
        <w:rPr>
          <w:rFonts w:ascii="Bookman Old Style" w:hAnsi="Bookman Old Style"/>
          <w:i/>
          <w:iCs/>
        </w:rPr>
        <w:t>Aggiungere il seguente articolo:</w:t>
      </w:r>
    </w:p>
    <w:p w14:paraId="13200D88" w14:textId="460C65C6" w:rsidR="00D9332C" w:rsidRDefault="00120333" w:rsidP="00120333">
      <w:pPr>
        <w:spacing w:after="80"/>
        <w:jc w:val="center"/>
        <w:rPr>
          <w:rFonts w:ascii="Bookman Old Style" w:hAnsi="Bookman Old Style"/>
        </w:rPr>
      </w:pPr>
      <w:r>
        <w:rPr>
          <w:rFonts w:ascii="Bookman Old Style" w:hAnsi="Bookman Old Style"/>
        </w:rPr>
        <w:t>“</w:t>
      </w:r>
      <w:r w:rsidR="00D9332C">
        <w:rPr>
          <w:rFonts w:ascii="Bookman Old Style" w:hAnsi="Bookman Old Style"/>
        </w:rPr>
        <w:t>Art. XX (</w:t>
      </w:r>
      <w:r>
        <w:rPr>
          <w:rFonts w:ascii="Bookman Old Style" w:hAnsi="Bookman Old Style"/>
        </w:rPr>
        <w:t>Beni confiscati alla criminalità organizzata)</w:t>
      </w:r>
    </w:p>
    <w:p w14:paraId="7AE4375F" w14:textId="64A9430E" w:rsidR="004758A3" w:rsidRPr="00120333" w:rsidRDefault="00120333" w:rsidP="0077214B">
      <w:pPr>
        <w:spacing w:after="80"/>
        <w:jc w:val="both"/>
        <w:rPr>
          <w:rFonts w:ascii="Bookman Old Style" w:hAnsi="Bookman Old Style"/>
          <w:color w:val="2E74B5" w:themeColor="accent5" w:themeShade="BF"/>
        </w:rPr>
      </w:pPr>
      <w:r w:rsidRPr="00120333">
        <w:rPr>
          <w:rFonts w:ascii="Bookman Old Style" w:hAnsi="Bookman Old Style"/>
        </w:rPr>
        <w:t>1</w:t>
      </w:r>
      <w:r w:rsidR="004758A3" w:rsidRPr="00120333">
        <w:rPr>
          <w:rFonts w:ascii="Bookman Old Style" w:hAnsi="Bookman Old Style"/>
        </w:rPr>
        <w:t xml:space="preserve">. All’articolo 1 della legge 27 dicembre 2019, n. 160, comma 53, lettera d) </w:t>
      </w:r>
      <w:r w:rsidR="004758A3" w:rsidRPr="00120333">
        <w:rPr>
          <w:rFonts w:ascii="Bookman Old Style" w:hAnsi="Bookman Old Style"/>
          <w:color w:val="000000"/>
        </w:rPr>
        <w:t>dopo le parole “d) messa in sicurezza ed efficientamento energetico degli edifici, con precedenza per gli edifici scolastici, e di altre strutture di proprietà dell’ente” sono aggiunte le seguenti “ivi compresi i beni destinati con provvedimento della Agenzia per l’amministrazione e la destinazione dei beni sequestrati e confiscati alla criminalità organizzata”</w:t>
      </w:r>
    </w:p>
    <w:p w14:paraId="7B0FFFE7" w14:textId="77777777" w:rsidR="004758A3" w:rsidRPr="0077214B" w:rsidRDefault="004758A3" w:rsidP="0077214B">
      <w:pPr>
        <w:spacing w:after="80"/>
        <w:jc w:val="center"/>
        <w:rPr>
          <w:rFonts w:ascii="Bookman Old Style" w:hAnsi="Bookman Old Style"/>
          <w:b/>
          <w:bCs/>
        </w:rPr>
      </w:pPr>
      <w:r w:rsidRPr="0077214B">
        <w:rPr>
          <w:rFonts w:ascii="Bookman Old Style" w:hAnsi="Bookman Old Style"/>
          <w:b/>
          <w:bCs/>
        </w:rPr>
        <w:t>Motivazione</w:t>
      </w:r>
    </w:p>
    <w:p w14:paraId="61B589B2" w14:textId="724C18F0" w:rsidR="004758A3" w:rsidRDefault="004758A3" w:rsidP="0077214B">
      <w:pPr>
        <w:spacing w:after="80"/>
        <w:jc w:val="both"/>
        <w:rPr>
          <w:rFonts w:ascii="Bookman Old Style" w:eastAsia="Calibri" w:hAnsi="Bookman Old Style" w:cs="Times New Roman"/>
          <w:i/>
          <w:iCs/>
        </w:rPr>
      </w:pPr>
      <w:r w:rsidRPr="0077214B">
        <w:rPr>
          <w:rFonts w:ascii="Bookman Old Style" w:eastAsia="Calibri" w:hAnsi="Bookman Old Style" w:cs="Times New Roman"/>
          <w:i/>
          <w:iCs/>
        </w:rPr>
        <w:t xml:space="preserve">La proposta punta a specificare la possibilità di utilizzo delle risorse anche per i beni confiscati alla criminalità organizzata destinati ai Comuni. Si tratta infatti di beni che, spesso, necessitano di ingenti interventi tecnici, amministrativi e di opere di ristrutturazione. I beni si deteriorano nel tempo che intercorre tra il sequestro e la destinazione </w:t>
      </w:r>
      <w:r w:rsidR="005637A2" w:rsidRPr="0077214B">
        <w:rPr>
          <w:rFonts w:ascii="Bookman Old Style" w:eastAsia="Calibri" w:hAnsi="Bookman Old Style" w:cs="Times New Roman"/>
          <w:i/>
          <w:iCs/>
        </w:rPr>
        <w:t>e</w:t>
      </w:r>
      <w:r w:rsidRPr="0077214B">
        <w:rPr>
          <w:rFonts w:ascii="Bookman Old Style" w:eastAsia="Calibri" w:hAnsi="Bookman Old Style" w:cs="Times New Roman"/>
          <w:i/>
          <w:iCs/>
        </w:rPr>
        <w:t>, inoltre, vi sono anche casi di beni danneggiati dai clan mafiosi poco prima del sequestro.</w:t>
      </w:r>
    </w:p>
    <w:p w14:paraId="07E08D09" w14:textId="077254A4" w:rsidR="00D96944" w:rsidRPr="00CD0773" w:rsidRDefault="00D96944" w:rsidP="00CD5070">
      <w:pPr>
        <w:rPr>
          <w:rFonts w:ascii="Bookman Old Style" w:hAnsi="Bookman Old Style"/>
          <w:i/>
          <w:iCs/>
        </w:rPr>
      </w:pPr>
    </w:p>
    <w:sectPr w:rsidR="00D96944" w:rsidRPr="00CD0773" w:rsidSect="00BD07BF">
      <w:footerReference w:type="default" r:id="rId15"/>
      <w:pgSz w:w="11906" w:h="16838"/>
      <w:pgMar w:top="1417" w:right="1134" w:bottom="1134" w:left="1134" w:header="426"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3DA3" w14:textId="77777777" w:rsidR="00BA0896" w:rsidRDefault="00BA0896">
      <w:pPr>
        <w:spacing w:after="0" w:line="240" w:lineRule="auto"/>
      </w:pPr>
      <w:r>
        <w:separator/>
      </w:r>
    </w:p>
  </w:endnote>
  <w:endnote w:type="continuationSeparator" w:id="0">
    <w:p w14:paraId="29691C80" w14:textId="77777777" w:rsidR="00BA0896" w:rsidRDefault="00BA0896">
      <w:pPr>
        <w:spacing w:after="0" w:line="240" w:lineRule="auto"/>
      </w:pPr>
      <w:r>
        <w:continuationSeparator/>
      </w:r>
    </w:p>
  </w:endnote>
  <w:endnote w:type="continuationNotice" w:id="1">
    <w:p w14:paraId="34A1C780" w14:textId="77777777" w:rsidR="00BA0896" w:rsidRDefault="00BA0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7"/>
      <w:docPartObj>
        <w:docPartGallery w:val="Page Numbers (Bottom of Page)"/>
        <w:docPartUnique/>
      </w:docPartObj>
    </w:sdtPr>
    <w:sdtEndPr/>
    <w:sdtContent>
      <w:p w14:paraId="4AAEEBB5" w14:textId="77777777" w:rsidR="00BD07BF" w:rsidRDefault="00432F3C">
        <w:pPr>
          <w:pStyle w:val="Pidipagina"/>
          <w:jc w:val="right"/>
        </w:pPr>
        <w:r w:rsidRPr="00BD07BF">
          <w:rPr>
            <w:sz w:val="18"/>
            <w:szCs w:val="18"/>
          </w:rPr>
          <w:fldChar w:fldCharType="begin"/>
        </w:r>
        <w:r w:rsidRPr="00BD07BF">
          <w:rPr>
            <w:sz w:val="18"/>
            <w:szCs w:val="18"/>
          </w:rPr>
          <w:instrText>PAGE   \* MERGEFORMAT</w:instrText>
        </w:r>
        <w:r w:rsidRPr="00BD07BF">
          <w:rPr>
            <w:sz w:val="18"/>
            <w:szCs w:val="18"/>
          </w:rPr>
          <w:fldChar w:fldCharType="separate"/>
        </w:r>
        <w:r w:rsidR="002B0482">
          <w:rPr>
            <w:noProof/>
            <w:sz w:val="18"/>
            <w:szCs w:val="18"/>
          </w:rPr>
          <w:t>1</w:t>
        </w:r>
        <w:r w:rsidRPr="00BD07BF">
          <w:rPr>
            <w:sz w:val="18"/>
            <w:szCs w:val="18"/>
          </w:rPr>
          <w:fldChar w:fldCharType="end"/>
        </w:r>
      </w:p>
    </w:sdtContent>
  </w:sdt>
  <w:p w14:paraId="33956542" w14:textId="77777777" w:rsidR="00BD07BF" w:rsidRDefault="002B04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C8F0" w14:textId="77777777" w:rsidR="00BA0896" w:rsidRDefault="00BA0896">
      <w:pPr>
        <w:spacing w:after="0" w:line="240" w:lineRule="auto"/>
      </w:pPr>
      <w:r>
        <w:separator/>
      </w:r>
    </w:p>
  </w:footnote>
  <w:footnote w:type="continuationSeparator" w:id="0">
    <w:p w14:paraId="4F3F7E35" w14:textId="77777777" w:rsidR="00BA0896" w:rsidRDefault="00BA0896">
      <w:pPr>
        <w:spacing w:after="0" w:line="240" w:lineRule="auto"/>
      </w:pPr>
      <w:r>
        <w:continuationSeparator/>
      </w:r>
    </w:p>
  </w:footnote>
  <w:footnote w:type="continuationNotice" w:id="1">
    <w:p w14:paraId="23524F60" w14:textId="77777777" w:rsidR="00BA0896" w:rsidRDefault="00BA089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BF4"/>
    <w:multiLevelType w:val="hybridMultilevel"/>
    <w:tmpl w:val="7B7E30E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40B3C3A"/>
    <w:multiLevelType w:val="hybridMultilevel"/>
    <w:tmpl w:val="1620109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5595B27"/>
    <w:multiLevelType w:val="hybridMultilevel"/>
    <w:tmpl w:val="3594C7EE"/>
    <w:lvl w:ilvl="0" w:tplc="A6FE04BE">
      <w:start w:val="1"/>
      <w:numFmt w:val="lowerLetter"/>
      <w:lvlText w:val="%1)"/>
      <w:lvlJc w:val="left"/>
      <w:pPr>
        <w:ind w:left="360" w:hanging="360"/>
      </w:pPr>
      <w:rPr>
        <w:rFonts w:hint="default"/>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69C4BB9"/>
    <w:multiLevelType w:val="hybridMultilevel"/>
    <w:tmpl w:val="72302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39281F"/>
    <w:multiLevelType w:val="multilevel"/>
    <w:tmpl w:val="20A8148E"/>
    <w:lvl w:ilvl="0">
      <w:start w:val="2"/>
      <w:numFmt w:val="lowerLetter"/>
      <w:lvlText w:val="%1."/>
      <w:lvlJc w:val="left"/>
      <w:pPr>
        <w:tabs>
          <w:tab w:val="num" w:pos="293"/>
        </w:tabs>
        <w:ind w:left="293" w:hanging="360"/>
      </w:pPr>
    </w:lvl>
    <w:lvl w:ilvl="1">
      <w:start w:val="58"/>
      <w:numFmt w:val="decimal"/>
      <w:lvlText w:val="%2."/>
      <w:lvlJc w:val="left"/>
      <w:pPr>
        <w:ind w:left="1028" w:hanging="375"/>
      </w:pPr>
      <w:rPr>
        <w:rFonts w:hint="default"/>
      </w:rPr>
    </w:lvl>
    <w:lvl w:ilvl="2" w:tentative="1">
      <w:start w:val="1"/>
      <w:numFmt w:val="lowerLetter"/>
      <w:lvlText w:val="%3."/>
      <w:lvlJc w:val="left"/>
      <w:pPr>
        <w:tabs>
          <w:tab w:val="num" w:pos="1733"/>
        </w:tabs>
        <w:ind w:left="1733" w:hanging="360"/>
      </w:pPr>
    </w:lvl>
    <w:lvl w:ilvl="3" w:tentative="1">
      <w:start w:val="1"/>
      <w:numFmt w:val="lowerLetter"/>
      <w:lvlText w:val="%4."/>
      <w:lvlJc w:val="left"/>
      <w:pPr>
        <w:tabs>
          <w:tab w:val="num" w:pos="2453"/>
        </w:tabs>
        <w:ind w:left="2453" w:hanging="360"/>
      </w:pPr>
    </w:lvl>
    <w:lvl w:ilvl="4" w:tentative="1">
      <w:start w:val="1"/>
      <w:numFmt w:val="lowerLetter"/>
      <w:lvlText w:val="%5."/>
      <w:lvlJc w:val="left"/>
      <w:pPr>
        <w:tabs>
          <w:tab w:val="num" w:pos="3173"/>
        </w:tabs>
        <w:ind w:left="3173" w:hanging="360"/>
      </w:pPr>
    </w:lvl>
    <w:lvl w:ilvl="5" w:tentative="1">
      <w:start w:val="1"/>
      <w:numFmt w:val="lowerLetter"/>
      <w:lvlText w:val="%6."/>
      <w:lvlJc w:val="left"/>
      <w:pPr>
        <w:tabs>
          <w:tab w:val="num" w:pos="3893"/>
        </w:tabs>
        <w:ind w:left="3893" w:hanging="360"/>
      </w:pPr>
    </w:lvl>
    <w:lvl w:ilvl="6" w:tentative="1">
      <w:start w:val="1"/>
      <w:numFmt w:val="lowerLetter"/>
      <w:lvlText w:val="%7."/>
      <w:lvlJc w:val="left"/>
      <w:pPr>
        <w:tabs>
          <w:tab w:val="num" w:pos="4613"/>
        </w:tabs>
        <w:ind w:left="4613" w:hanging="360"/>
      </w:pPr>
    </w:lvl>
    <w:lvl w:ilvl="7" w:tentative="1">
      <w:start w:val="1"/>
      <w:numFmt w:val="lowerLetter"/>
      <w:lvlText w:val="%8."/>
      <w:lvlJc w:val="left"/>
      <w:pPr>
        <w:tabs>
          <w:tab w:val="num" w:pos="5333"/>
        </w:tabs>
        <w:ind w:left="5333" w:hanging="360"/>
      </w:pPr>
    </w:lvl>
    <w:lvl w:ilvl="8" w:tentative="1">
      <w:start w:val="1"/>
      <w:numFmt w:val="lowerLetter"/>
      <w:lvlText w:val="%9."/>
      <w:lvlJc w:val="left"/>
      <w:pPr>
        <w:tabs>
          <w:tab w:val="num" w:pos="6053"/>
        </w:tabs>
        <w:ind w:left="6053" w:hanging="360"/>
      </w:pPr>
    </w:lvl>
  </w:abstractNum>
  <w:abstractNum w:abstractNumId="5">
    <w:nsid w:val="0DF65309"/>
    <w:multiLevelType w:val="hybridMultilevel"/>
    <w:tmpl w:val="4FECA490"/>
    <w:lvl w:ilvl="0" w:tplc="8C54F2DA">
      <w:start w:val="1"/>
      <w:numFmt w:val="lowerLetter"/>
      <w:lvlText w:val="%1)"/>
      <w:lvlJc w:val="left"/>
      <w:pPr>
        <w:ind w:left="1363" w:hanging="360"/>
      </w:pPr>
      <w:rPr>
        <w:rFonts w:ascii="Bookman Old Style" w:hAnsi="Bookman Old Style" w:hint="default"/>
        <w:color w:val="auto"/>
        <w:sz w:val="22"/>
      </w:rPr>
    </w:lvl>
    <w:lvl w:ilvl="1" w:tplc="04100019" w:tentative="1">
      <w:start w:val="1"/>
      <w:numFmt w:val="lowerLetter"/>
      <w:lvlText w:val="%2."/>
      <w:lvlJc w:val="left"/>
      <w:pPr>
        <w:ind w:left="2083" w:hanging="360"/>
      </w:pPr>
    </w:lvl>
    <w:lvl w:ilvl="2" w:tplc="0410001B" w:tentative="1">
      <w:start w:val="1"/>
      <w:numFmt w:val="lowerRoman"/>
      <w:lvlText w:val="%3."/>
      <w:lvlJc w:val="right"/>
      <w:pPr>
        <w:ind w:left="2803" w:hanging="180"/>
      </w:pPr>
    </w:lvl>
    <w:lvl w:ilvl="3" w:tplc="0410000F" w:tentative="1">
      <w:start w:val="1"/>
      <w:numFmt w:val="decimal"/>
      <w:lvlText w:val="%4."/>
      <w:lvlJc w:val="left"/>
      <w:pPr>
        <w:ind w:left="3523" w:hanging="360"/>
      </w:pPr>
    </w:lvl>
    <w:lvl w:ilvl="4" w:tplc="04100019" w:tentative="1">
      <w:start w:val="1"/>
      <w:numFmt w:val="lowerLetter"/>
      <w:lvlText w:val="%5."/>
      <w:lvlJc w:val="left"/>
      <w:pPr>
        <w:ind w:left="4243" w:hanging="360"/>
      </w:pPr>
    </w:lvl>
    <w:lvl w:ilvl="5" w:tplc="0410001B" w:tentative="1">
      <w:start w:val="1"/>
      <w:numFmt w:val="lowerRoman"/>
      <w:lvlText w:val="%6."/>
      <w:lvlJc w:val="right"/>
      <w:pPr>
        <w:ind w:left="4963" w:hanging="180"/>
      </w:pPr>
    </w:lvl>
    <w:lvl w:ilvl="6" w:tplc="0410000F" w:tentative="1">
      <w:start w:val="1"/>
      <w:numFmt w:val="decimal"/>
      <w:lvlText w:val="%7."/>
      <w:lvlJc w:val="left"/>
      <w:pPr>
        <w:ind w:left="5683" w:hanging="360"/>
      </w:pPr>
    </w:lvl>
    <w:lvl w:ilvl="7" w:tplc="04100019" w:tentative="1">
      <w:start w:val="1"/>
      <w:numFmt w:val="lowerLetter"/>
      <w:lvlText w:val="%8."/>
      <w:lvlJc w:val="left"/>
      <w:pPr>
        <w:ind w:left="6403" w:hanging="360"/>
      </w:pPr>
    </w:lvl>
    <w:lvl w:ilvl="8" w:tplc="0410001B" w:tentative="1">
      <w:start w:val="1"/>
      <w:numFmt w:val="lowerRoman"/>
      <w:lvlText w:val="%9."/>
      <w:lvlJc w:val="right"/>
      <w:pPr>
        <w:ind w:left="7123" w:hanging="180"/>
      </w:pPr>
    </w:lvl>
  </w:abstractNum>
  <w:abstractNum w:abstractNumId="6">
    <w:nsid w:val="0DFC3C3D"/>
    <w:multiLevelType w:val="hybridMultilevel"/>
    <w:tmpl w:val="C2A01CC8"/>
    <w:lvl w:ilvl="0" w:tplc="D88C15DA">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055E19"/>
    <w:multiLevelType w:val="hybridMultilevel"/>
    <w:tmpl w:val="F7C60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2A5A12"/>
    <w:multiLevelType w:val="hybridMultilevel"/>
    <w:tmpl w:val="F8D0DD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486EEC"/>
    <w:multiLevelType w:val="multilevel"/>
    <w:tmpl w:val="3C620C9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0">
    <w:nsid w:val="14ED6E89"/>
    <w:multiLevelType w:val="hybridMultilevel"/>
    <w:tmpl w:val="4A4EF748"/>
    <w:lvl w:ilvl="0" w:tplc="8FBC9E7A">
      <w:start w:val="1"/>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1D0E4FF0"/>
    <w:multiLevelType w:val="hybridMultilevel"/>
    <w:tmpl w:val="68CE03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1D1741F6"/>
    <w:multiLevelType w:val="hybridMultilevel"/>
    <w:tmpl w:val="D7322F66"/>
    <w:lvl w:ilvl="0" w:tplc="541ABAE0">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3">
    <w:nsid w:val="200A60BB"/>
    <w:multiLevelType w:val="hybridMultilevel"/>
    <w:tmpl w:val="ED30EF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7D739B"/>
    <w:multiLevelType w:val="hybridMultilevel"/>
    <w:tmpl w:val="542EE2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146686"/>
    <w:multiLevelType w:val="hybridMultilevel"/>
    <w:tmpl w:val="F7D42A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587FAD"/>
    <w:multiLevelType w:val="hybridMultilevel"/>
    <w:tmpl w:val="ACA4989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042CAC"/>
    <w:multiLevelType w:val="hybridMultilevel"/>
    <w:tmpl w:val="05EEF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FD5E37"/>
    <w:multiLevelType w:val="hybridMultilevel"/>
    <w:tmpl w:val="E6004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685598"/>
    <w:multiLevelType w:val="hybridMultilevel"/>
    <w:tmpl w:val="24EA7C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660421"/>
    <w:multiLevelType w:val="multilevel"/>
    <w:tmpl w:val="69985B3C"/>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nsid w:val="39F6516E"/>
    <w:multiLevelType w:val="hybridMultilevel"/>
    <w:tmpl w:val="4F1085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ACF67F7"/>
    <w:multiLevelType w:val="hybridMultilevel"/>
    <w:tmpl w:val="B47C673E"/>
    <w:lvl w:ilvl="0" w:tplc="110A270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672D78"/>
    <w:multiLevelType w:val="multilevel"/>
    <w:tmpl w:val="440CD4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CCB71A2"/>
    <w:multiLevelType w:val="hybridMultilevel"/>
    <w:tmpl w:val="80E8E6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D6E5A0C"/>
    <w:multiLevelType w:val="hybridMultilevel"/>
    <w:tmpl w:val="F18E8F6A"/>
    <w:lvl w:ilvl="0" w:tplc="1FEE4462">
      <w:start w:val="6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D77378A"/>
    <w:multiLevelType w:val="hybridMultilevel"/>
    <w:tmpl w:val="1D8AAC0A"/>
    <w:lvl w:ilvl="0" w:tplc="D67ABE5A">
      <w:start w:val="60"/>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E7D06C1"/>
    <w:multiLevelType w:val="hybridMultilevel"/>
    <w:tmpl w:val="D6EA8DCA"/>
    <w:lvl w:ilvl="0" w:tplc="DEAC28F6">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5633D11"/>
    <w:multiLevelType w:val="multilevel"/>
    <w:tmpl w:val="E76E2E6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9">
    <w:nsid w:val="4668377C"/>
    <w:multiLevelType w:val="multilevel"/>
    <w:tmpl w:val="A6ACA22C"/>
    <w:lvl w:ilvl="0">
      <w:start w:val="1"/>
      <w:numFmt w:val="lowerLetter"/>
      <w:lvlText w:val="%1."/>
      <w:lvlJc w:val="left"/>
      <w:pPr>
        <w:tabs>
          <w:tab w:val="num" w:pos="720"/>
        </w:tabs>
        <w:ind w:left="720" w:hanging="360"/>
      </w:pPr>
    </w:lvl>
    <w:lvl w:ilvl="1">
      <w:start w:val="57"/>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7D02810"/>
    <w:multiLevelType w:val="hybridMultilevel"/>
    <w:tmpl w:val="EA462B5A"/>
    <w:lvl w:ilvl="0" w:tplc="64268822">
      <w:start w:val="1"/>
      <w:numFmt w:val="lowerLetter"/>
      <w:lvlText w:val="%1)"/>
      <w:lvlJc w:val="left"/>
      <w:pPr>
        <w:ind w:left="720" w:hanging="360"/>
      </w:pPr>
      <w:rPr>
        <w:rFonts w:ascii="Bookman Old Style" w:hAnsi="Bookman Old Style"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C517CC5"/>
    <w:multiLevelType w:val="multilevel"/>
    <w:tmpl w:val="AC8CF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0A04A3E"/>
    <w:multiLevelType w:val="hybridMultilevel"/>
    <w:tmpl w:val="A634C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E207E2"/>
    <w:multiLevelType w:val="hybridMultilevel"/>
    <w:tmpl w:val="0F3A685A"/>
    <w:lvl w:ilvl="0" w:tplc="2F8EE53E">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EB22D44"/>
    <w:multiLevelType w:val="hybridMultilevel"/>
    <w:tmpl w:val="8D7AE8CC"/>
    <w:lvl w:ilvl="0" w:tplc="FFFFFFFF">
      <w:start w:val="1"/>
      <w:numFmt w:val="decimal"/>
      <w:lvlText w:val="%1."/>
      <w:lvlJc w:val="left"/>
      <w:pPr>
        <w:ind w:left="501"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F0B6420"/>
    <w:multiLevelType w:val="hybridMultilevel"/>
    <w:tmpl w:val="44D04AAC"/>
    <w:lvl w:ilvl="0" w:tplc="228E11F4">
      <w:start w:val="59"/>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02407D"/>
    <w:multiLevelType w:val="hybridMultilevel"/>
    <w:tmpl w:val="82EE5EB6"/>
    <w:lvl w:ilvl="0" w:tplc="A5D2D15E">
      <w:start w:val="60"/>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AA74D60"/>
    <w:multiLevelType w:val="hybridMultilevel"/>
    <w:tmpl w:val="3B2C5AEA"/>
    <w:lvl w:ilvl="0" w:tplc="381607D2">
      <w:start w:val="1"/>
      <w:numFmt w:val="lowerLetter"/>
      <w:lvlText w:val="%1)"/>
      <w:lvlJc w:val="left"/>
      <w:pPr>
        <w:ind w:left="360" w:hanging="360"/>
      </w:pPr>
      <w:rPr>
        <w:rFonts w:ascii="Bookman Old Style" w:eastAsiaTheme="minorHAnsi" w:hAnsi="Bookman Old Style" w:cstheme="minorHAns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B46F2F1"/>
    <w:multiLevelType w:val="hybridMultilevel"/>
    <w:tmpl w:val="0B30770C"/>
    <w:lvl w:ilvl="0" w:tplc="61E28BEA">
      <w:start w:val="1"/>
      <w:numFmt w:val="lowerLetter"/>
      <w:lvlText w:val="%1)"/>
      <w:lvlJc w:val="left"/>
      <w:pPr>
        <w:ind w:left="720" w:hanging="360"/>
      </w:pPr>
    </w:lvl>
    <w:lvl w:ilvl="1" w:tplc="2BE8AA1C">
      <w:start w:val="1"/>
      <w:numFmt w:val="lowerLetter"/>
      <w:lvlText w:val="%2."/>
      <w:lvlJc w:val="left"/>
      <w:pPr>
        <w:ind w:left="1440" w:hanging="360"/>
      </w:pPr>
    </w:lvl>
    <w:lvl w:ilvl="2" w:tplc="6EBE0276">
      <w:start w:val="1"/>
      <w:numFmt w:val="lowerRoman"/>
      <w:lvlText w:val="%3."/>
      <w:lvlJc w:val="right"/>
      <w:pPr>
        <w:ind w:left="2160" w:hanging="180"/>
      </w:pPr>
    </w:lvl>
    <w:lvl w:ilvl="3" w:tplc="A022D798">
      <w:start w:val="1"/>
      <w:numFmt w:val="decimal"/>
      <w:lvlText w:val="%4."/>
      <w:lvlJc w:val="left"/>
      <w:pPr>
        <w:ind w:left="2880" w:hanging="360"/>
      </w:pPr>
    </w:lvl>
    <w:lvl w:ilvl="4" w:tplc="612650F8">
      <w:start w:val="1"/>
      <w:numFmt w:val="lowerLetter"/>
      <w:lvlText w:val="%5."/>
      <w:lvlJc w:val="left"/>
      <w:pPr>
        <w:ind w:left="3600" w:hanging="360"/>
      </w:pPr>
    </w:lvl>
    <w:lvl w:ilvl="5" w:tplc="8E62E0F8">
      <w:start w:val="1"/>
      <w:numFmt w:val="lowerRoman"/>
      <w:lvlText w:val="%6."/>
      <w:lvlJc w:val="right"/>
      <w:pPr>
        <w:ind w:left="4320" w:hanging="180"/>
      </w:pPr>
    </w:lvl>
    <w:lvl w:ilvl="6" w:tplc="43ACA46E">
      <w:start w:val="1"/>
      <w:numFmt w:val="decimal"/>
      <w:lvlText w:val="%7."/>
      <w:lvlJc w:val="left"/>
      <w:pPr>
        <w:ind w:left="5040" w:hanging="360"/>
      </w:pPr>
    </w:lvl>
    <w:lvl w:ilvl="7" w:tplc="B100D812">
      <w:start w:val="1"/>
      <w:numFmt w:val="lowerLetter"/>
      <w:lvlText w:val="%8."/>
      <w:lvlJc w:val="left"/>
      <w:pPr>
        <w:ind w:left="5760" w:hanging="360"/>
      </w:pPr>
    </w:lvl>
    <w:lvl w:ilvl="8" w:tplc="CC3A7796">
      <w:start w:val="1"/>
      <w:numFmt w:val="lowerRoman"/>
      <w:lvlText w:val="%9."/>
      <w:lvlJc w:val="right"/>
      <w:pPr>
        <w:ind w:left="6480" w:hanging="180"/>
      </w:pPr>
    </w:lvl>
  </w:abstractNum>
  <w:abstractNum w:abstractNumId="39">
    <w:nsid w:val="711F04D9"/>
    <w:multiLevelType w:val="multilevel"/>
    <w:tmpl w:val="6D469E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1AAA444"/>
    <w:multiLevelType w:val="hybridMultilevel"/>
    <w:tmpl w:val="FFFFFFFF"/>
    <w:lvl w:ilvl="0" w:tplc="E14EF536">
      <w:start w:val="1"/>
      <w:numFmt w:val="decimal"/>
      <w:lvlText w:val="%1."/>
      <w:lvlJc w:val="left"/>
      <w:pPr>
        <w:ind w:left="360" w:hanging="360"/>
      </w:pPr>
    </w:lvl>
    <w:lvl w:ilvl="1" w:tplc="9ED00672">
      <w:start w:val="1"/>
      <w:numFmt w:val="lowerLetter"/>
      <w:lvlText w:val="%2."/>
      <w:lvlJc w:val="left"/>
      <w:pPr>
        <w:ind w:left="1080" w:hanging="360"/>
      </w:pPr>
    </w:lvl>
    <w:lvl w:ilvl="2" w:tplc="B6A43F16">
      <w:start w:val="1"/>
      <w:numFmt w:val="lowerRoman"/>
      <w:lvlText w:val="%3."/>
      <w:lvlJc w:val="right"/>
      <w:pPr>
        <w:ind w:left="1800" w:hanging="180"/>
      </w:pPr>
    </w:lvl>
    <w:lvl w:ilvl="3" w:tplc="B84496BA">
      <w:start w:val="1"/>
      <w:numFmt w:val="decimal"/>
      <w:lvlText w:val="%4."/>
      <w:lvlJc w:val="left"/>
      <w:pPr>
        <w:ind w:left="2520" w:hanging="360"/>
      </w:pPr>
    </w:lvl>
    <w:lvl w:ilvl="4" w:tplc="C882DB94">
      <w:start w:val="1"/>
      <w:numFmt w:val="lowerLetter"/>
      <w:lvlText w:val="%5."/>
      <w:lvlJc w:val="left"/>
      <w:pPr>
        <w:ind w:left="3240" w:hanging="360"/>
      </w:pPr>
    </w:lvl>
    <w:lvl w:ilvl="5" w:tplc="67F8F620">
      <w:start w:val="1"/>
      <w:numFmt w:val="lowerRoman"/>
      <w:lvlText w:val="%6."/>
      <w:lvlJc w:val="right"/>
      <w:pPr>
        <w:ind w:left="3960" w:hanging="180"/>
      </w:pPr>
    </w:lvl>
    <w:lvl w:ilvl="6" w:tplc="BC0EF698">
      <w:start w:val="1"/>
      <w:numFmt w:val="decimal"/>
      <w:lvlText w:val="%7."/>
      <w:lvlJc w:val="left"/>
      <w:pPr>
        <w:ind w:left="4680" w:hanging="360"/>
      </w:pPr>
    </w:lvl>
    <w:lvl w:ilvl="7" w:tplc="C460480E">
      <w:start w:val="1"/>
      <w:numFmt w:val="lowerLetter"/>
      <w:lvlText w:val="%8."/>
      <w:lvlJc w:val="left"/>
      <w:pPr>
        <w:ind w:left="5400" w:hanging="360"/>
      </w:pPr>
    </w:lvl>
    <w:lvl w:ilvl="8" w:tplc="9E5CD106">
      <w:start w:val="1"/>
      <w:numFmt w:val="lowerRoman"/>
      <w:lvlText w:val="%9."/>
      <w:lvlJc w:val="right"/>
      <w:pPr>
        <w:ind w:left="6120" w:hanging="180"/>
      </w:pPr>
    </w:lvl>
  </w:abstractNum>
  <w:abstractNum w:abstractNumId="41">
    <w:nsid w:val="7E490370"/>
    <w:multiLevelType w:val="hybridMultilevel"/>
    <w:tmpl w:val="1F2A070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2">
    <w:nsid w:val="7F385BFE"/>
    <w:multiLevelType w:val="hybridMultilevel"/>
    <w:tmpl w:val="E360544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7FC464B8"/>
    <w:multiLevelType w:val="hybridMultilevel"/>
    <w:tmpl w:val="8D7AE8CC"/>
    <w:lvl w:ilvl="0" w:tplc="EF0070F4">
      <w:start w:val="1"/>
      <w:numFmt w:val="decimal"/>
      <w:lvlText w:val="%1."/>
      <w:lvlJc w:val="left"/>
      <w:pPr>
        <w:ind w:left="928"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0"/>
  </w:num>
  <w:num w:numId="2">
    <w:abstractNumId w:val="37"/>
  </w:num>
  <w:num w:numId="3">
    <w:abstractNumId w:val="24"/>
  </w:num>
  <w:num w:numId="4">
    <w:abstractNumId w:val="43"/>
  </w:num>
  <w:num w:numId="5">
    <w:abstractNumId w:val="8"/>
  </w:num>
  <w:num w:numId="6">
    <w:abstractNumId w:val="21"/>
  </w:num>
  <w:num w:numId="7">
    <w:abstractNumId w:val="19"/>
  </w:num>
  <w:num w:numId="8">
    <w:abstractNumId w:val="5"/>
  </w:num>
  <w:num w:numId="9">
    <w:abstractNumId w:val="30"/>
  </w:num>
  <w:num w:numId="10">
    <w:abstractNumId w:val="29"/>
  </w:num>
  <w:num w:numId="11">
    <w:abstractNumId w:val="4"/>
  </w:num>
  <w:num w:numId="12">
    <w:abstractNumId w:val="23"/>
  </w:num>
  <w:num w:numId="13">
    <w:abstractNumId w:val="28"/>
  </w:num>
  <w:num w:numId="14">
    <w:abstractNumId w:val="31"/>
  </w:num>
  <w:num w:numId="15">
    <w:abstractNumId w:val="39"/>
  </w:num>
  <w:num w:numId="16">
    <w:abstractNumId w:val="3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0"/>
  </w:num>
  <w:num w:numId="21">
    <w:abstractNumId w:val="12"/>
  </w:num>
  <w:num w:numId="22">
    <w:abstractNumId w:val="22"/>
  </w:num>
  <w:num w:numId="23">
    <w:abstractNumId w:val="6"/>
  </w:num>
  <w:num w:numId="24">
    <w:abstractNumId w:val="34"/>
  </w:num>
  <w:num w:numId="25">
    <w:abstractNumId w:val="1"/>
  </w:num>
  <w:num w:numId="26">
    <w:abstractNumId w:val="27"/>
  </w:num>
  <w:num w:numId="27">
    <w:abstractNumId w:val="0"/>
  </w:num>
  <w:num w:numId="28">
    <w:abstractNumId w:val="41"/>
  </w:num>
  <w:num w:numId="29">
    <w:abstractNumId w:val="20"/>
  </w:num>
  <w:num w:numId="30">
    <w:abstractNumId w:val="33"/>
  </w:num>
  <w:num w:numId="31">
    <w:abstractNumId w:val="32"/>
  </w:num>
  <w:num w:numId="32">
    <w:abstractNumId w:val="17"/>
  </w:num>
  <w:num w:numId="33">
    <w:abstractNumId w:val="13"/>
  </w:num>
  <w:num w:numId="34">
    <w:abstractNumId w:val="14"/>
  </w:num>
  <w:num w:numId="35">
    <w:abstractNumId w:val="18"/>
  </w:num>
  <w:num w:numId="36">
    <w:abstractNumId w:val="3"/>
  </w:num>
  <w:num w:numId="37">
    <w:abstractNumId w:val="35"/>
  </w:num>
  <w:num w:numId="38">
    <w:abstractNumId w:val="26"/>
  </w:num>
  <w:num w:numId="39">
    <w:abstractNumId w:val="36"/>
  </w:num>
  <w:num w:numId="40">
    <w:abstractNumId w:val="11"/>
  </w:num>
  <w:num w:numId="41">
    <w:abstractNumId w:val="42"/>
  </w:num>
  <w:num w:numId="42">
    <w:abstractNumId w:val="2"/>
  </w:num>
  <w:num w:numId="43">
    <w:abstractNumId w:val="7"/>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B8"/>
    <w:rsid w:val="000006E7"/>
    <w:rsid w:val="00000B6D"/>
    <w:rsid w:val="00002C06"/>
    <w:rsid w:val="000038FF"/>
    <w:rsid w:val="00003C50"/>
    <w:rsid w:val="0000497A"/>
    <w:rsid w:val="00004D0C"/>
    <w:rsid w:val="0000703E"/>
    <w:rsid w:val="00007AB4"/>
    <w:rsid w:val="000106C7"/>
    <w:rsid w:val="00010E41"/>
    <w:rsid w:val="00012418"/>
    <w:rsid w:val="00012BD9"/>
    <w:rsid w:val="00012CD7"/>
    <w:rsid w:val="00013124"/>
    <w:rsid w:val="000143CC"/>
    <w:rsid w:val="00015836"/>
    <w:rsid w:val="0001759E"/>
    <w:rsid w:val="00017AEE"/>
    <w:rsid w:val="0002004D"/>
    <w:rsid w:val="000212C7"/>
    <w:rsid w:val="0002265F"/>
    <w:rsid w:val="000226DA"/>
    <w:rsid w:val="000229E6"/>
    <w:rsid w:val="00022CFB"/>
    <w:rsid w:val="00023510"/>
    <w:rsid w:val="00023EF9"/>
    <w:rsid w:val="000250C3"/>
    <w:rsid w:val="00025489"/>
    <w:rsid w:val="00025E83"/>
    <w:rsid w:val="00025F09"/>
    <w:rsid w:val="00025FB8"/>
    <w:rsid w:val="0002621F"/>
    <w:rsid w:val="00026458"/>
    <w:rsid w:val="00026EF1"/>
    <w:rsid w:val="00027776"/>
    <w:rsid w:val="00030491"/>
    <w:rsid w:val="0003148B"/>
    <w:rsid w:val="0003188A"/>
    <w:rsid w:val="00031FB7"/>
    <w:rsid w:val="000321C1"/>
    <w:rsid w:val="00032365"/>
    <w:rsid w:val="000323B8"/>
    <w:rsid w:val="000365B4"/>
    <w:rsid w:val="000372A2"/>
    <w:rsid w:val="0004008D"/>
    <w:rsid w:val="00040217"/>
    <w:rsid w:val="000402CD"/>
    <w:rsid w:val="0004036F"/>
    <w:rsid w:val="00040A7E"/>
    <w:rsid w:val="00041436"/>
    <w:rsid w:val="000417B5"/>
    <w:rsid w:val="0004302E"/>
    <w:rsid w:val="00044335"/>
    <w:rsid w:val="00045124"/>
    <w:rsid w:val="00045399"/>
    <w:rsid w:val="00046EBE"/>
    <w:rsid w:val="0005015C"/>
    <w:rsid w:val="000519DE"/>
    <w:rsid w:val="000540C4"/>
    <w:rsid w:val="00054D73"/>
    <w:rsid w:val="00054DEE"/>
    <w:rsid w:val="00056022"/>
    <w:rsid w:val="0005635C"/>
    <w:rsid w:val="00057789"/>
    <w:rsid w:val="000611BB"/>
    <w:rsid w:val="000616A9"/>
    <w:rsid w:val="00061DFA"/>
    <w:rsid w:val="00062F2D"/>
    <w:rsid w:val="0006416B"/>
    <w:rsid w:val="00064326"/>
    <w:rsid w:val="000644CA"/>
    <w:rsid w:val="00065610"/>
    <w:rsid w:val="00065ACF"/>
    <w:rsid w:val="0006751C"/>
    <w:rsid w:val="00071499"/>
    <w:rsid w:val="0007338A"/>
    <w:rsid w:val="000745A8"/>
    <w:rsid w:val="000747B4"/>
    <w:rsid w:val="000758ED"/>
    <w:rsid w:val="00077C18"/>
    <w:rsid w:val="00080259"/>
    <w:rsid w:val="00081563"/>
    <w:rsid w:val="000819CA"/>
    <w:rsid w:val="00081F66"/>
    <w:rsid w:val="00082D6B"/>
    <w:rsid w:val="00083123"/>
    <w:rsid w:val="000833BC"/>
    <w:rsid w:val="00084DAB"/>
    <w:rsid w:val="00084DDF"/>
    <w:rsid w:val="00085C3E"/>
    <w:rsid w:val="0008676E"/>
    <w:rsid w:val="00086817"/>
    <w:rsid w:val="00087474"/>
    <w:rsid w:val="00091AF0"/>
    <w:rsid w:val="00096B74"/>
    <w:rsid w:val="000975F9"/>
    <w:rsid w:val="000976D9"/>
    <w:rsid w:val="000A0C5F"/>
    <w:rsid w:val="000A2910"/>
    <w:rsid w:val="000A3C8D"/>
    <w:rsid w:val="000A421C"/>
    <w:rsid w:val="000A50DD"/>
    <w:rsid w:val="000A60E3"/>
    <w:rsid w:val="000A6159"/>
    <w:rsid w:val="000B206A"/>
    <w:rsid w:val="000B2271"/>
    <w:rsid w:val="000B3F1D"/>
    <w:rsid w:val="000B45FD"/>
    <w:rsid w:val="000B6296"/>
    <w:rsid w:val="000B731A"/>
    <w:rsid w:val="000B7A6D"/>
    <w:rsid w:val="000C12F5"/>
    <w:rsid w:val="000C2E2D"/>
    <w:rsid w:val="000C2F4A"/>
    <w:rsid w:val="000C3FA8"/>
    <w:rsid w:val="000C48DF"/>
    <w:rsid w:val="000C4D94"/>
    <w:rsid w:val="000C5CB1"/>
    <w:rsid w:val="000C7FDE"/>
    <w:rsid w:val="000D0B7C"/>
    <w:rsid w:val="000D1562"/>
    <w:rsid w:val="000D5BB3"/>
    <w:rsid w:val="000D67ED"/>
    <w:rsid w:val="000D6893"/>
    <w:rsid w:val="000D7304"/>
    <w:rsid w:val="000E0110"/>
    <w:rsid w:val="000E1F5E"/>
    <w:rsid w:val="000E24C5"/>
    <w:rsid w:val="000E269F"/>
    <w:rsid w:val="000E27B9"/>
    <w:rsid w:val="000E2930"/>
    <w:rsid w:val="000E3E44"/>
    <w:rsid w:val="000E40E2"/>
    <w:rsid w:val="000E4229"/>
    <w:rsid w:val="000E6BA5"/>
    <w:rsid w:val="000E7D0F"/>
    <w:rsid w:val="000F0CC2"/>
    <w:rsid w:val="000F0FE4"/>
    <w:rsid w:val="000F1786"/>
    <w:rsid w:val="000F1D92"/>
    <w:rsid w:val="000F3672"/>
    <w:rsid w:val="000F5AFD"/>
    <w:rsid w:val="000F62A9"/>
    <w:rsid w:val="00101830"/>
    <w:rsid w:val="00101FD8"/>
    <w:rsid w:val="001023D5"/>
    <w:rsid w:val="00104BD3"/>
    <w:rsid w:val="00105DE7"/>
    <w:rsid w:val="00107149"/>
    <w:rsid w:val="00113364"/>
    <w:rsid w:val="00114B17"/>
    <w:rsid w:val="00117FB3"/>
    <w:rsid w:val="00120333"/>
    <w:rsid w:val="001203E6"/>
    <w:rsid w:val="0012048B"/>
    <w:rsid w:val="00120984"/>
    <w:rsid w:val="001211B0"/>
    <w:rsid w:val="00121CAC"/>
    <w:rsid w:val="00122436"/>
    <w:rsid w:val="00123A7D"/>
    <w:rsid w:val="00123F7E"/>
    <w:rsid w:val="001244D3"/>
    <w:rsid w:val="00124959"/>
    <w:rsid w:val="00124C98"/>
    <w:rsid w:val="001279C2"/>
    <w:rsid w:val="00127A98"/>
    <w:rsid w:val="00127E97"/>
    <w:rsid w:val="001305C2"/>
    <w:rsid w:val="00130A4A"/>
    <w:rsid w:val="00130E37"/>
    <w:rsid w:val="00131431"/>
    <w:rsid w:val="00132FBC"/>
    <w:rsid w:val="00134C07"/>
    <w:rsid w:val="00134E08"/>
    <w:rsid w:val="0013593F"/>
    <w:rsid w:val="001415FD"/>
    <w:rsid w:val="0014162D"/>
    <w:rsid w:val="00141669"/>
    <w:rsid w:val="00141AD6"/>
    <w:rsid w:val="00141BA7"/>
    <w:rsid w:val="0014233D"/>
    <w:rsid w:val="00142C07"/>
    <w:rsid w:val="00143406"/>
    <w:rsid w:val="00143D0B"/>
    <w:rsid w:val="00144074"/>
    <w:rsid w:val="001448E7"/>
    <w:rsid w:val="00147A4C"/>
    <w:rsid w:val="00147E5C"/>
    <w:rsid w:val="001521A9"/>
    <w:rsid w:val="00152378"/>
    <w:rsid w:val="00152591"/>
    <w:rsid w:val="00153A3C"/>
    <w:rsid w:val="00153F45"/>
    <w:rsid w:val="00154237"/>
    <w:rsid w:val="001552F7"/>
    <w:rsid w:val="001562D0"/>
    <w:rsid w:val="00156826"/>
    <w:rsid w:val="00156E43"/>
    <w:rsid w:val="00161539"/>
    <w:rsid w:val="00161C41"/>
    <w:rsid w:val="00162E87"/>
    <w:rsid w:val="00164F5A"/>
    <w:rsid w:val="00165B2B"/>
    <w:rsid w:val="00165C86"/>
    <w:rsid w:val="001674C6"/>
    <w:rsid w:val="00167CBB"/>
    <w:rsid w:val="00167FF1"/>
    <w:rsid w:val="001708A8"/>
    <w:rsid w:val="00170C4E"/>
    <w:rsid w:val="00171E0F"/>
    <w:rsid w:val="00171E6A"/>
    <w:rsid w:val="00173561"/>
    <w:rsid w:val="001736CD"/>
    <w:rsid w:val="00173E95"/>
    <w:rsid w:val="00173F8C"/>
    <w:rsid w:val="00174DE8"/>
    <w:rsid w:val="00175734"/>
    <w:rsid w:val="00175955"/>
    <w:rsid w:val="00175BA5"/>
    <w:rsid w:val="001767B6"/>
    <w:rsid w:val="00177051"/>
    <w:rsid w:val="00177973"/>
    <w:rsid w:val="001801B6"/>
    <w:rsid w:val="0018057D"/>
    <w:rsid w:val="00182B2B"/>
    <w:rsid w:val="0018346A"/>
    <w:rsid w:val="00183957"/>
    <w:rsid w:val="00184EE2"/>
    <w:rsid w:val="00186A7E"/>
    <w:rsid w:val="001874B7"/>
    <w:rsid w:val="0018757D"/>
    <w:rsid w:val="00190047"/>
    <w:rsid w:val="00190FD3"/>
    <w:rsid w:val="00192914"/>
    <w:rsid w:val="00193589"/>
    <w:rsid w:val="00193A0E"/>
    <w:rsid w:val="001943E6"/>
    <w:rsid w:val="00195BFF"/>
    <w:rsid w:val="00196A8F"/>
    <w:rsid w:val="00197F6F"/>
    <w:rsid w:val="001A0282"/>
    <w:rsid w:val="001A0BD5"/>
    <w:rsid w:val="001A0DE9"/>
    <w:rsid w:val="001A13E3"/>
    <w:rsid w:val="001A3E9F"/>
    <w:rsid w:val="001A4638"/>
    <w:rsid w:val="001A49C8"/>
    <w:rsid w:val="001A511D"/>
    <w:rsid w:val="001A5559"/>
    <w:rsid w:val="001A67E8"/>
    <w:rsid w:val="001A6C09"/>
    <w:rsid w:val="001A7095"/>
    <w:rsid w:val="001A77C5"/>
    <w:rsid w:val="001B1384"/>
    <w:rsid w:val="001B25E0"/>
    <w:rsid w:val="001B2A1C"/>
    <w:rsid w:val="001B31D1"/>
    <w:rsid w:val="001B32FB"/>
    <w:rsid w:val="001B4174"/>
    <w:rsid w:val="001B4B71"/>
    <w:rsid w:val="001B5F91"/>
    <w:rsid w:val="001B64C8"/>
    <w:rsid w:val="001B737E"/>
    <w:rsid w:val="001C5500"/>
    <w:rsid w:val="001C55B2"/>
    <w:rsid w:val="001C58C3"/>
    <w:rsid w:val="001D380F"/>
    <w:rsid w:val="001D40B8"/>
    <w:rsid w:val="001D4814"/>
    <w:rsid w:val="001D5432"/>
    <w:rsid w:val="001D6B29"/>
    <w:rsid w:val="001D734D"/>
    <w:rsid w:val="001D798B"/>
    <w:rsid w:val="001E0CD3"/>
    <w:rsid w:val="001E307B"/>
    <w:rsid w:val="001E3CFE"/>
    <w:rsid w:val="001E4A39"/>
    <w:rsid w:val="001E6968"/>
    <w:rsid w:val="001E7261"/>
    <w:rsid w:val="001F0C86"/>
    <w:rsid w:val="001F2553"/>
    <w:rsid w:val="001F778A"/>
    <w:rsid w:val="002015B3"/>
    <w:rsid w:val="00201CD3"/>
    <w:rsid w:val="00202188"/>
    <w:rsid w:val="00202471"/>
    <w:rsid w:val="002027FD"/>
    <w:rsid w:val="002028B0"/>
    <w:rsid w:val="002034F2"/>
    <w:rsid w:val="00205746"/>
    <w:rsid w:val="00205C31"/>
    <w:rsid w:val="002063FE"/>
    <w:rsid w:val="002104FC"/>
    <w:rsid w:val="00211A1A"/>
    <w:rsid w:val="00212178"/>
    <w:rsid w:val="002125E9"/>
    <w:rsid w:val="00213D91"/>
    <w:rsid w:val="0021404A"/>
    <w:rsid w:val="00214126"/>
    <w:rsid w:val="0021474E"/>
    <w:rsid w:val="0021476C"/>
    <w:rsid w:val="00216AF6"/>
    <w:rsid w:val="002177FE"/>
    <w:rsid w:val="002211FF"/>
    <w:rsid w:val="002224E2"/>
    <w:rsid w:val="002248C4"/>
    <w:rsid w:val="00225E76"/>
    <w:rsid w:val="00225FF6"/>
    <w:rsid w:val="002275D1"/>
    <w:rsid w:val="002277EB"/>
    <w:rsid w:val="00227A82"/>
    <w:rsid w:val="00230432"/>
    <w:rsid w:val="002304AD"/>
    <w:rsid w:val="00230AC7"/>
    <w:rsid w:val="00230C45"/>
    <w:rsid w:val="00231993"/>
    <w:rsid w:val="00232D48"/>
    <w:rsid w:val="00233BEF"/>
    <w:rsid w:val="00234303"/>
    <w:rsid w:val="00234456"/>
    <w:rsid w:val="0023454F"/>
    <w:rsid w:val="00234F7B"/>
    <w:rsid w:val="002350B2"/>
    <w:rsid w:val="00235A04"/>
    <w:rsid w:val="00235FF1"/>
    <w:rsid w:val="002372AE"/>
    <w:rsid w:val="002372D2"/>
    <w:rsid w:val="00237FE6"/>
    <w:rsid w:val="002400F4"/>
    <w:rsid w:val="002402E0"/>
    <w:rsid w:val="00240486"/>
    <w:rsid w:val="002408CE"/>
    <w:rsid w:val="00240ECE"/>
    <w:rsid w:val="00243082"/>
    <w:rsid w:val="00243C5E"/>
    <w:rsid w:val="00244D9B"/>
    <w:rsid w:val="002456CB"/>
    <w:rsid w:val="00245B0D"/>
    <w:rsid w:val="00246666"/>
    <w:rsid w:val="00247453"/>
    <w:rsid w:val="00247568"/>
    <w:rsid w:val="00247BC3"/>
    <w:rsid w:val="00250D15"/>
    <w:rsid w:val="00251B6A"/>
    <w:rsid w:val="00251D2F"/>
    <w:rsid w:val="00252106"/>
    <w:rsid w:val="002524FD"/>
    <w:rsid w:val="0025445B"/>
    <w:rsid w:val="0025524D"/>
    <w:rsid w:val="0025586F"/>
    <w:rsid w:val="00256AC1"/>
    <w:rsid w:val="002606AB"/>
    <w:rsid w:val="00261F6F"/>
    <w:rsid w:val="00262211"/>
    <w:rsid w:val="00262B14"/>
    <w:rsid w:val="00262E95"/>
    <w:rsid w:val="00262F81"/>
    <w:rsid w:val="002630DC"/>
    <w:rsid w:val="00263832"/>
    <w:rsid w:val="002639FE"/>
    <w:rsid w:val="00263A5E"/>
    <w:rsid w:val="00264344"/>
    <w:rsid w:val="002650C1"/>
    <w:rsid w:val="002651FD"/>
    <w:rsid w:val="002664D4"/>
    <w:rsid w:val="00266600"/>
    <w:rsid w:val="00270BE2"/>
    <w:rsid w:val="00270D40"/>
    <w:rsid w:val="0027118B"/>
    <w:rsid w:val="0027147A"/>
    <w:rsid w:val="00271F3A"/>
    <w:rsid w:val="00272AB7"/>
    <w:rsid w:val="0027304B"/>
    <w:rsid w:val="00273447"/>
    <w:rsid w:val="00275749"/>
    <w:rsid w:val="00275E70"/>
    <w:rsid w:val="00280D71"/>
    <w:rsid w:val="0028155E"/>
    <w:rsid w:val="00282DFD"/>
    <w:rsid w:val="00287A6B"/>
    <w:rsid w:val="0029054D"/>
    <w:rsid w:val="00290654"/>
    <w:rsid w:val="00290DCD"/>
    <w:rsid w:val="00292579"/>
    <w:rsid w:val="00292651"/>
    <w:rsid w:val="00292FEA"/>
    <w:rsid w:val="00293F70"/>
    <w:rsid w:val="0029427E"/>
    <w:rsid w:val="0029554D"/>
    <w:rsid w:val="00296A9C"/>
    <w:rsid w:val="002A0AE1"/>
    <w:rsid w:val="002A38F4"/>
    <w:rsid w:val="002A3B73"/>
    <w:rsid w:val="002A3DA4"/>
    <w:rsid w:val="002A4769"/>
    <w:rsid w:val="002A4DE2"/>
    <w:rsid w:val="002A6657"/>
    <w:rsid w:val="002A668B"/>
    <w:rsid w:val="002A66E0"/>
    <w:rsid w:val="002B0155"/>
    <w:rsid w:val="002B0185"/>
    <w:rsid w:val="002B0482"/>
    <w:rsid w:val="002B08B7"/>
    <w:rsid w:val="002B0C1A"/>
    <w:rsid w:val="002B0E20"/>
    <w:rsid w:val="002B1076"/>
    <w:rsid w:val="002B152C"/>
    <w:rsid w:val="002B15D1"/>
    <w:rsid w:val="002B22C6"/>
    <w:rsid w:val="002B2CD6"/>
    <w:rsid w:val="002B3A1F"/>
    <w:rsid w:val="002B4834"/>
    <w:rsid w:val="002B52FF"/>
    <w:rsid w:val="002C00BF"/>
    <w:rsid w:val="002C0FFF"/>
    <w:rsid w:val="002C1498"/>
    <w:rsid w:val="002C3C31"/>
    <w:rsid w:val="002C42A3"/>
    <w:rsid w:val="002C46C8"/>
    <w:rsid w:val="002C4D0A"/>
    <w:rsid w:val="002C56EE"/>
    <w:rsid w:val="002C72DB"/>
    <w:rsid w:val="002D08A8"/>
    <w:rsid w:val="002D0917"/>
    <w:rsid w:val="002D0F3F"/>
    <w:rsid w:val="002D1E7B"/>
    <w:rsid w:val="002D38AE"/>
    <w:rsid w:val="002D4483"/>
    <w:rsid w:val="002D4865"/>
    <w:rsid w:val="002D4B04"/>
    <w:rsid w:val="002D7917"/>
    <w:rsid w:val="002D7E6C"/>
    <w:rsid w:val="002E0809"/>
    <w:rsid w:val="002E0C3E"/>
    <w:rsid w:val="002E15E4"/>
    <w:rsid w:val="002E24BC"/>
    <w:rsid w:val="002E2E36"/>
    <w:rsid w:val="002E3186"/>
    <w:rsid w:val="002E323A"/>
    <w:rsid w:val="002E447E"/>
    <w:rsid w:val="002E5DB9"/>
    <w:rsid w:val="002E5F14"/>
    <w:rsid w:val="002E615E"/>
    <w:rsid w:val="002E76CF"/>
    <w:rsid w:val="002F0775"/>
    <w:rsid w:val="002F1155"/>
    <w:rsid w:val="002F1400"/>
    <w:rsid w:val="002F2400"/>
    <w:rsid w:val="002F248B"/>
    <w:rsid w:val="002F2C3B"/>
    <w:rsid w:val="002F3312"/>
    <w:rsid w:val="002F3D9A"/>
    <w:rsid w:val="002F4268"/>
    <w:rsid w:val="002F5B4F"/>
    <w:rsid w:val="002F5F12"/>
    <w:rsid w:val="002F6493"/>
    <w:rsid w:val="002F6ED5"/>
    <w:rsid w:val="00300854"/>
    <w:rsid w:val="00301BCF"/>
    <w:rsid w:val="00301DAB"/>
    <w:rsid w:val="0030231F"/>
    <w:rsid w:val="00302D9C"/>
    <w:rsid w:val="0030356B"/>
    <w:rsid w:val="00303ED0"/>
    <w:rsid w:val="003053AA"/>
    <w:rsid w:val="003065CA"/>
    <w:rsid w:val="00306702"/>
    <w:rsid w:val="00306D79"/>
    <w:rsid w:val="00310240"/>
    <w:rsid w:val="003104B7"/>
    <w:rsid w:val="00310E89"/>
    <w:rsid w:val="00311890"/>
    <w:rsid w:val="00312CA2"/>
    <w:rsid w:val="00312CFF"/>
    <w:rsid w:val="00313D49"/>
    <w:rsid w:val="00316A08"/>
    <w:rsid w:val="00316AFE"/>
    <w:rsid w:val="003171D7"/>
    <w:rsid w:val="003172AB"/>
    <w:rsid w:val="00320227"/>
    <w:rsid w:val="003205EE"/>
    <w:rsid w:val="003209E3"/>
    <w:rsid w:val="0032175B"/>
    <w:rsid w:val="00321948"/>
    <w:rsid w:val="00321BB7"/>
    <w:rsid w:val="00321E15"/>
    <w:rsid w:val="00321F1E"/>
    <w:rsid w:val="00322AAB"/>
    <w:rsid w:val="00322BB5"/>
    <w:rsid w:val="00322E82"/>
    <w:rsid w:val="00322F15"/>
    <w:rsid w:val="00323AF0"/>
    <w:rsid w:val="003241EA"/>
    <w:rsid w:val="00324D2F"/>
    <w:rsid w:val="00325343"/>
    <w:rsid w:val="00325BFC"/>
    <w:rsid w:val="003269C5"/>
    <w:rsid w:val="00327643"/>
    <w:rsid w:val="00327AA8"/>
    <w:rsid w:val="00327B55"/>
    <w:rsid w:val="003312FA"/>
    <w:rsid w:val="00333269"/>
    <w:rsid w:val="0033357D"/>
    <w:rsid w:val="00334028"/>
    <w:rsid w:val="0033512E"/>
    <w:rsid w:val="003358A3"/>
    <w:rsid w:val="00336EE1"/>
    <w:rsid w:val="003374D0"/>
    <w:rsid w:val="00340292"/>
    <w:rsid w:val="00340A5C"/>
    <w:rsid w:val="0034181C"/>
    <w:rsid w:val="00342216"/>
    <w:rsid w:val="0034265E"/>
    <w:rsid w:val="0034269A"/>
    <w:rsid w:val="00343F39"/>
    <w:rsid w:val="00344AF2"/>
    <w:rsid w:val="00345B76"/>
    <w:rsid w:val="00345CCF"/>
    <w:rsid w:val="00345FDD"/>
    <w:rsid w:val="00346AB7"/>
    <w:rsid w:val="00346EA2"/>
    <w:rsid w:val="00350A8E"/>
    <w:rsid w:val="00350D61"/>
    <w:rsid w:val="00351415"/>
    <w:rsid w:val="003518FA"/>
    <w:rsid w:val="00353182"/>
    <w:rsid w:val="003536A8"/>
    <w:rsid w:val="003538D6"/>
    <w:rsid w:val="00353AD5"/>
    <w:rsid w:val="00353FF0"/>
    <w:rsid w:val="0035485F"/>
    <w:rsid w:val="00355335"/>
    <w:rsid w:val="0035586D"/>
    <w:rsid w:val="00355F3C"/>
    <w:rsid w:val="00357390"/>
    <w:rsid w:val="00360943"/>
    <w:rsid w:val="003613A5"/>
    <w:rsid w:val="00361918"/>
    <w:rsid w:val="00361B62"/>
    <w:rsid w:val="00362001"/>
    <w:rsid w:val="00362767"/>
    <w:rsid w:val="003628C2"/>
    <w:rsid w:val="0036628A"/>
    <w:rsid w:val="003671EA"/>
    <w:rsid w:val="003673BB"/>
    <w:rsid w:val="00371012"/>
    <w:rsid w:val="00372574"/>
    <w:rsid w:val="003725E0"/>
    <w:rsid w:val="00373395"/>
    <w:rsid w:val="003743B4"/>
    <w:rsid w:val="0037465A"/>
    <w:rsid w:val="003749F8"/>
    <w:rsid w:val="00374A26"/>
    <w:rsid w:val="003763D3"/>
    <w:rsid w:val="003766F4"/>
    <w:rsid w:val="003770FF"/>
    <w:rsid w:val="00377247"/>
    <w:rsid w:val="00377666"/>
    <w:rsid w:val="00380DAA"/>
    <w:rsid w:val="003810FB"/>
    <w:rsid w:val="003818E1"/>
    <w:rsid w:val="00381E50"/>
    <w:rsid w:val="00382FDE"/>
    <w:rsid w:val="003847BE"/>
    <w:rsid w:val="0039002A"/>
    <w:rsid w:val="00390334"/>
    <w:rsid w:val="00390C87"/>
    <w:rsid w:val="00390D54"/>
    <w:rsid w:val="00390FFF"/>
    <w:rsid w:val="00391126"/>
    <w:rsid w:val="00394870"/>
    <w:rsid w:val="00394894"/>
    <w:rsid w:val="00396089"/>
    <w:rsid w:val="0039665E"/>
    <w:rsid w:val="00397AD1"/>
    <w:rsid w:val="003A19E4"/>
    <w:rsid w:val="003A1D94"/>
    <w:rsid w:val="003A2DF1"/>
    <w:rsid w:val="003A3384"/>
    <w:rsid w:val="003A3949"/>
    <w:rsid w:val="003A405A"/>
    <w:rsid w:val="003A5763"/>
    <w:rsid w:val="003A6516"/>
    <w:rsid w:val="003A7014"/>
    <w:rsid w:val="003A78EA"/>
    <w:rsid w:val="003B01E4"/>
    <w:rsid w:val="003B22EC"/>
    <w:rsid w:val="003B28AD"/>
    <w:rsid w:val="003B33FD"/>
    <w:rsid w:val="003B4E6E"/>
    <w:rsid w:val="003B4F9A"/>
    <w:rsid w:val="003B6B8C"/>
    <w:rsid w:val="003C0A43"/>
    <w:rsid w:val="003C1D48"/>
    <w:rsid w:val="003C6016"/>
    <w:rsid w:val="003C6AA5"/>
    <w:rsid w:val="003D058A"/>
    <w:rsid w:val="003D1EF8"/>
    <w:rsid w:val="003D2BFC"/>
    <w:rsid w:val="003D35A6"/>
    <w:rsid w:val="003D3FA4"/>
    <w:rsid w:val="003D418A"/>
    <w:rsid w:val="003D43AB"/>
    <w:rsid w:val="003D57B0"/>
    <w:rsid w:val="003E0CE2"/>
    <w:rsid w:val="003E2FC4"/>
    <w:rsid w:val="003E3309"/>
    <w:rsid w:val="003E3330"/>
    <w:rsid w:val="003E34C6"/>
    <w:rsid w:val="003E3DC2"/>
    <w:rsid w:val="003E4F41"/>
    <w:rsid w:val="003E50EA"/>
    <w:rsid w:val="003E53DB"/>
    <w:rsid w:val="003E5AAB"/>
    <w:rsid w:val="003E68CF"/>
    <w:rsid w:val="003E7A71"/>
    <w:rsid w:val="003F02D8"/>
    <w:rsid w:val="003F31AB"/>
    <w:rsid w:val="003F449C"/>
    <w:rsid w:val="003F5774"/>
    <w:rsid w:val="003F63DD"/>
    <w:rsid w:val="003F67A7"/>
    <w:rsid w:val="003F7AC8"/>
    <w:rsid w:val="003F7B19"/>
    <w:rsid w:val="003F7C2D"/>
    <w:rsid w:val="00400327"/>
    <w:rsid w:val="0040170E"/>
    <w:rsid w:val="00401A00"/>
    <w:rsid w:val="0040235C"/>
    <w:rsid w:val="00404468"/>
    <w:rsid w:val="00404C2C"/>
    <w:rsid w:val="00405F20"/>
    <w:rsid w:val="0040675C"/>
    <w:rsid w:val="00406C26"/>
    <w:rsid w:val="00407438"/>
    <w:rsid w:val="00407881"/>
    <w:rsid w:val="0041037B"/>
    <w:rsid w:val="00410737"/>
    <w:rsid w:val="00410CFA"/>
    <w:rsid w:val="0041183B"/>
    <w:rsid w:val="00411A34"/>
    <w:rsid w:val="004129BB"/>
    <w:rsid w:val="004140D8"/>
    <w:rsid w:val="00414587"/>
    <w:rsid w:val="004152CE"/>
    <w:rsid w:val="004175FB"/>
    <w:rsid w:val="0041761C"/>
    <w:rsid w:val="0042016A"/>
    <w:rsid w:val="004209CF"/>
    <w:rsid w:val="00420F10"/>
    <w:rsid w:val="004216C3"/>
    <w:rsid w:val="004242B3"/>
    <w:rsid w:val="00425271"/>
    <w:rsid w:val="00426EBB"/>
    <w:rsid w:val="0042765E"/>
    <w:rsid w:val="00427BE1"/>
    <w:rsid w:val="00427D0D"/>
    <w:rsid w:val="0043000A"/>
    <w:rsid w:val="00431198"/>
    <w:rsid w:val="00432323"/>
    <w:rsid w:val="00432F3C"/>
    <w:rsid w:val="00433361"/>
    <w:rsid w:val="00433857"/>
    <w:rsid w:val="00436DB8"/>
    <w:rsid w:val="00437FE7"/>
    <w:rsid w:val="004402E2"/>
    <w:rsid w:val="00447067"/>
    <w:rsid w:val="004472B7"/>
    <w:rsid w:val="00447517"/>
    <w:rsid w:val="004478BF"/>
    <w:rsid w:val="004478C8"/>
    <w:rsid w:val="00447EC2"/>
    <w:rsid w:val="004507B2"/>
    <w:rsid w:val="00450855"/>
    <w:rsid w:val="00450C76"/>
    <w:rsid w:val="004510F9"/>
    <w:rsid w:val="00453284"/>
    <w:rsid w:val="004533E5"/>
    <w:rsid w:val="00453D05"/>
    <w:rsid w:val="00453E8E"/>
    <w:rsid w:val="00455003"/>
    <w:rsid w:val="0045643D"/>
    <w:rsid w:val="0045677C"/>
    <w:rsid w:val="00457C05"/>
    <w:rsid w:val="00457E67"/>
    <w:rsid w:val="0046015B"/>
    <w:rsid w:val="00460AB5"/>
    <w:rsid w:val="004613ED"/>
    <w:rsid w:val="0046349C"/>
    <w:rsid w:val="004636D5"/>
    <w:rsid w:val="00463E08"/>
    <w:rsid w:val="00464DF7"/>
    <w:rsid w:val="004664F0"/>
    <w:rsid w:val="00466829"/>
    <w:rsid w:val="00467836"/>
    <w:rsid w:val="00470F4B"/>
    <w:rsid w:val="004716ED"/>
    <w:rsid w:val="00471F11"/>
    <w:rsid w:val="004750D9"/>
    <w:rsid w:val="004758A3"/>
    <w:rsid w:val="004760AC"/>
    <w:rsid w:val="004760D2"/>
    <w:rsid w:val="00476943"/>
    <w:rsid w:val="004777C8"/>
    <w:rsid w:val="00477EDF"/>
    <w:rsid w:val="004803F4"/>
    <w:rsid w:val="004830A4"/>
    <w:rsid w:val="00483444"/>
    <w:rsid w:val="004834C7"/>
    <w:rsid w:val="004863E5"/>
    <w:rsid w:val="0048771F"/>
    <w:rsid w:val="00491088"/>
    <w:rsid w:val="004919D9"/>
    <w:rsid w:val="004922C2"/>
    <w:rsid w:val="004924C3"/>
    <w:rsid w:val="0049297A"/>
    <w:rsid w:val="00493487"/>
    <w:rsid w:val="004934E7"/>
    <w:rsid w:val="004940FE"/>
    <w:rsid w:val="00494DF3"/>
    <w:rsid w:val="00494EA6"/>
    <w:rsid w:val="00495C5B"/>
    <w:rsid w:val="00495E8C"/>
    <w:rsid w:val="00496748"/>
    <w:rsid w:val="00496BCE"/>
    <w:rsid w:val="0049788E"/>
    <w:rsid w:val="004A12BB"/>
    <w:rsid w:val="004A182A"/>
    <w:rsid w:val="004A2D23"/>
    <w:rsid w:val="004A31AC"/>
    <w:rsid w:val="004A321F"/>
    <w:rsid w:val="004A344C"/>
    <w:rsid w:val="004A3EB8"/>
    <w:rsid w:val="004A4258"/>
    <w:rsid w:val="004A4EFB"/>
    <w:rsid w:val="004A5E44"/>
    <w:rsid w:val="004A63D1"/>
    <w:rsid w:val="004A640A"/>
    <w:rsid w:val="004A6AE7"/>
    <w:rsid w:val="004A76F1"/>
    <w:rsid w:val="004A7B88"/>
    <w:rsid w:val="004A7BC3"/>
    <w:rsid w:val="004A7BF4"/>
    <w:rsid w:val="004B33CB"/>
    <w:rsid w:val="004B351F"/>
    <w:rsid w:val="004B36AF"/>
    <w:rsid w:val="004B67AC"/>
    <w:rsid w:val="004B6D4B"/>
    <w:rsid w:val="004B730A"/>
    <w:rsid w:val="004B747B"/>
    <w:rsid w:val="004B7701"/>
    <w:rsid w:val="004B7A9E"/>
    <w:rsid w:val="004B7EFC"/>
    <w:rsid w:val="004C2194"/>
    <w:rsid w:val="004C2964"/>
    <w:rsid w:val="004C51F3"/>
    <w:rsid w:val="004C53FA"/>
    <w:rsid w:val="004C540B"/>
    <w:rsid w:val="004D0634"/>
    <w:rsid w:val="004D1DFC"/>
    <w:rsid w:val="004D1EBE"/>
    <w:rsid w:val="004D1F50"/>
    <w:rsid w:val="004D2306"/>
    <w:rsid w:val="004D2346"/>
    <w:rsid w:val="004D34FF"/>
    <w:rsid w:val="004D3843"/>
    <w:rsid w:val="004D6573"/>
    <w:rsid w:val="004D6AA8"/>
    <w:rsid w:val="004D716D"/>
    <w:rsid w:val="004D7316"/>
    <w:rsid w:val="004D7606"/>
    <w:rsid w:val="004D7D4E"/>
    <w:rsid w:val="004E16CE"/>
    <w:rsid w:val="004E2408"/>
    <w:rsid w:val="004E27D8"/>
    <w:rsid w:val="004E42AD"/>
    <w:rsid w:val="004E432A"/>
    <w:rsid w:val="004E44CA"/>
    <w:rsid w:val="004E45C8"/>
    <w:rsid w:val="004E4F4F"/>
    <w:rsid w:val="004E6378"/>
    <w:rsid w:val="004E63B4"/>
    <w:rsid w:val="004E672B"/>
    <w:rsid w:val="004E69E1"/>
    <w:rsid w:val="004E6C96"/>
    <w:rsid w:val="004F0529"/>
    <w:rsid w:val="004F0909"/>
    <w:rsid w:val="004F0A4B"/>
    <w:rsid w:val="004F0F06"/>
    <w:rsid w:val="004F1594"/>
    <w:rsid w:val="004F1712"/>
    <w:rsid w:val="004F30BC"/>
    <w:rsid w:val="004F3240"/>
    <w:rsid w:val="004F38E9"/>
    <w:rsid w:val="004F5502"/>
    <w:rsid w:val="004F7E2B"/>
    <w:rsid w:val="005001FA"/>
    <w:rsid w:val="005007B9"/>
    <w:rsid w:val="00500A4B"/>
    <w:rsid w:val="00500D32"/>
    <w:rsid w:val="00501248"/>
    <w:rsid w:val="00501645"/>
    <w:rsid w:val="00501FD2"/>
    <w:rsid w:val="00503CAC"/>
    <w:rsid w:val="00504178"/>
    <w:rsid w:val="00504BE9"/>
    <w:rsid w:val="00505315"/>
    <w:rsid w:val="005054EF"/>
    <w:rsid w:val="005057CA"/>
    <w:rsid w:val="00505FBD"/>
    <w:rsid w:val="0050660F"/>
    <w:rsid w:val="00507E5D"/>
    <w:rsid w:val="00510466"/>
    <w:rsid w:val="00510990"/>
    <w:rsid w:val="0051162E"/>
    <w:rsid w:val="00511A1D"/>
    <w:rsid w:val="00511B78"/>
    <w:rsid w:val="00512706"/>
    <w:rsid w:val="005128F2"/>
    <w:rsid w:val="00512AEF"/>
    <w:rsid w:val="00513A0F"/>
    <w:rsid w:val="00514A04"/>
    <w:rsid w:val="00514B07"/>
    <w:rsid w:val="00514BB0"/>
    <w:rsid w:val="00514E4A"/>
    <w:rsid w:val="005157D3"/>
    <w:rsid w:val="00515A81"/>
    <w:rsid w:val="00517BA0"/>
    <w:rsid w:val="005203CD"/>
    <w:rsid w:val="005207D9"/>
    <w:rsid w:val="00522652"/>
    <w:rsid w:val="0052269F"/>
    <w:rsid w:val="005233A7"/>
    <w:rsid w:val="00523899"/>
    <w:rsid w:val="00524D2B"/>
    <w:rsid w:val="00524F59"/>
    <w:rsid w:val="005275A4"/>
    <w:rsid w:val="00527C31"/>
    <w:rsid w:val="00530351"/>
    <w:rsid w:val="00530B48"/>
    <w:rsid w:val="00531E5A"/>
    <w:rsid w:val="00532A86"/>
    <w:rsid w:val="0053346E"/>
    <w:rsid w:val="00534A78"/>
    <w:rsid w:val="0053517D"/>
    <w:rsid w:val="00536BEA"/>
    <w:rsid w:val="0054038E"/>
    <w:rsid w:val="00540F7A"/>
    <w:rsid w:val="00541AB7"/>
    <w:rsid w:val="00542FD9"/>
    <w:rsid w:val="0054531A"/>
    <w:rsid w:val="00545348"/>
    <w:rsid w:val="00546689"/>
    <w:rsid w:val="0054716C"/>
    <w:rsid w:val="00550199"/>
    <w:rsid w:val="00550ACA"/>
    <w:rsid w:val="00550AD1"/>
    <w:rsid w:val="00552C07"/>
    <w:rsid w:val="00552E2F"/>
    <w:rsid w:val="005539F4"/>
    <w:rsid w:val="00554B8E"/>
    <w:rsid w:val="00556616"/>
    <w:rsid w:val="00560D77"/>
    <w:rsid w:val="00562485"/>
    <w:rsid w:val="00563220"/>
    <w:rsid w:val="005637A2"/>
    <w:rsid w:val="0056585C"/>
    <w:rsid w:val="00565B7B"/>
    <w:rsid w:val="005665D3"/>
    <w:rsid w:val="0056724F"/>
    <w:rsid w:val="005675E2"/>
    <w:rsid w:val="0056793E"/>
    <w:rsid w:val="005703FE"/>
    <w:rsid w:val="00571E2F"/>
    <w:rsid w:val="00572FC5"/>
    <w:rsid w:val="00573DDA"/>
    <w:rsid w:val="00573F8E"/>
    <w:rsid w:val="0057403E"/>
    <w:rsid w:val="005746D6"/>
    <w:rsid w:val="00575570"/>
    <w:rsid w:val="00576088"/>
    <w:rsid w:val="00576EB2"/>
    <w:rsid w:val="0058036D"/>
    <w:rsid w:val="005808A6"/>
    <w:rsid w:val="00581B0B"/>
    <w:rsid w:val="0058223B"/>
    <w:rsid w:val="00583CD9"/>
    <w:rsid w:val="00583FBE"/>
    <w:rsid w:val="005852A1"/>
    <w:rsid w:val="00585442"/>
    <w:rsid w:val="005854CE"/>
    <w:rsid w:val="00585636"/>
    <w:rsid w:val="00587106"/>
    <w:rsid w:val="00591ACD"/>
    <w:rsid w:val="00592059"/>
    <w:rsid w:val="00592C97"/>
    <w:rsid w:val="00593A60"/>
    <w:rsid w:val="0059491F"/>
    <w:rsid w:val="005960A9"/>
    <w:rsid w:val="005A0BCA"/>
    <w:rsid w:val="005A0F12"/>
    <w:rsid w:val="005A1536"/>
    <w:rsid w:val="005A1ADE"/>
    <w:rsid w:val="005A328D"/>
    <w:rsid w:val="005A343F"/>
    <w:rsid w:val="005A366B"/>
    <w:rsid w:val="005A3A33"/>
    <w:rsid w:val="005A3EBC"/>
    <w:rsid w:val="005A43A4"/>
    <w:rsid w:val="005A5754"/>
    <w:rsid w:val="005A6842"/>
    <w:rsid w:val="005A7C28"/>
    <w:rsid w:val="005A7F85"/>
    <w:rsid w:val="005B09B0"/>
    <w:rsid w:val="005B17C0"/>
    <w:rsid w:val="005B1F79"/>
    <w:rsid w:val="005B26E3"/>
    <w:rsid w:val="005B275D"/>
    <w:rsid w:val="005B3651"/>
    <w:rsid w:val="005B3E24"/>
    <w:rsid w:val="005B3F86"/>
    <w:rsid w:val="005B4850"/>
    <w:rsid w:val="005B5866"/>
    <w:rsid w:val="005B64AC"/>
    <w:rsid w:val="005B68E4"/>
    <w:rsid w:val="005B768D"/>
    <w:rsid w:val="005B79E7"/>
    <w:rsid w:val="005B7A06"/>
    <w:rsid w:val="005C1676"/>
    <w:rsid w:val="005C2502"/>
    <w:rsid w:val="005C405B"/>
    <w:rsid w:val="005C4E8F"/>
    <w:rsid w:val="005C4F93"/>
    <w:rsid w:val="005C67BD"/>
    <w:rsid w:val="005C7575"/>
    <w:rsid w:val="005D0953"/>
    <w:rsid w:val="005D0D4C"/>
    <w:rsid w:val="005D1409"/>
    <w:rsid w:val="005D20A8"/>
    <w:rsid w:val="005D3CF8"/>
    <w:rsid w:val="005D4B8E"/>
    <w:rsid w:val="005D5378"/>
    <w:rsid w:val="005D61E8"/>
    <w:rsid w:val="005D7C36"/>
    <w:rsid w:val="005E11AB"/>
    <w:rsid w:val="005E49A1"/>
    <w:rsid w:val="005E62AF"/>
    <w:rsid w:val="005E63D8"/>
    <w:rsid w:val="005E6706"/>
    <w:rsid w:val="005E74B8"/>
    <w:rsid w:val="005E74BD"/>
    <w:rsid w:val="005E77FC"/>
    <w:rsid w:val="005E7C22"/>
    <w:rsid w:val="005F0F1F"/>
    <w:rsid w:val="005F1B2E"/>
    <w:rsid w:val="005F287F"/>
    <w:rsid w:val="005F2FA1"/>
    <w:rsid w:val="005F480B"/>
    <w:rsid w:val="005F59F2"/>
    <w:rsid w:val="0060028B"/>
    <w:rsid w:val="006028F9"/>
    <w:rsid w:val="00602E54"/>
    <w:rsid w:val="00603394"/>
    <w:rsid w:val="006046E0"/>
    <w:rsid w:val="00604B5F"/>
    <w:rsid w:val="006051D2"/>
    <w:rsid w:val="00606886"/>
    <w:rsid w:val="00607343"/>
    <w:rsid w:val="00607469"/>
    <w:rsid w:val="00607C61"/>
    <w:rsid w:val="00610199"/>
    <w:rsid w:val="0061075C"/>
    <w:rsid w:val="00610B8E"/>
    <w:rsid w:val="00613124"/>
    <w:rsid w:val="0061369C"/>
    <w:rsid w:val="00614811"/>
    <w:rsid w:val="00614854"/>
    <w:rsid w:val="00614960"/>
    <w:rsid w:val="00615734"/>
    <w:rsid w:val="006157C8"/>
    <w:rsid w:val="0061714F"/>
    <w:rsid w:val="00617A12"/>
    <w:rsid w:val="00620243"/>
    <w:rsid w:val="006202E1"/>
    <w:rsid w:val="00620483"/>
    <w:rsid w:val="006206F9"/>
    <w:rsid w:val="0062090A"/>
    <w:rsid w:val="00621542"/>
    <w:rsid w:val="0062168E"/>
    <w:rsid w:val="00621983"/>
    <w:rsid w:val="00622E6D"/>
    <w:rsid w:val="00623AC8"/>
    <w:rsid w:val="00624D86"/>
    <w:rsid w:val="00625019"/>
    <w:rsid w:val="00625C44"/>
    <w:rsid w:val="00626A4A"/>
    <w:rsid w:val="00626E64"/>
    <w:rsid w:val="00627C58"/>
    <w:rsid w:val="006300C6"/>
    <w:rsid w:val="0063034F"/>
    <w:rsid w:val="006313C1"/>
    <w:rsid w:val="00631DAB"/>
    <w:rsid w:val="00635887"/>
    <w:rsid w:val="0063613A"/>
    <w:rsid w:val="006373F0"/>
    <w:rsid w:val="00637757"/>
    <w:rsid w:val="00637EA0"/>
    <w:rsid w:val="00640AFE"/>
    <w:rsid w:val="00640F24"/>
    <w:rsid w:val="00641129"/>
    <w:rsid w:val="0064212D"/>
    <w:rsid w:val="00642482"/>
    <w:rsid w:val="00644586"/>
    <w:rsid w:val="00644CFF"/>
    <w:rsid w:val="00644E05"/>
    <w:rsid w:val="00646CAF"/>
    <w:rsid w:val="0064731B"/>
    <w:rsid w:val="00647A9E"/>
    <w:rsid w:val="00650003"/>
    <w:rsid w:val="006507AA"/>
    <w:rsid w:val="006508E1"/>
    <w:rsid w:val="00650ADA"/>
    <w:rsid w:val="00651034"/>
    <w:rsid w:val="00651BE6"/>
    <w:rsid w:val="00651DA7"/>
    <w:rsid w:val="006521EE"/>
    <w:rsid w:val="00653808"/>
    <w:rsid w:val="00654988"/>
    <w:rsid w:val="00654EEE"/>
    <w:rsid w:val="006559E5"/>
    <w:rsid w:val="00656097"/>
    <w:rsid w:val="006562EB"/>
    <w:rsid w:val="00657281"/>
    <w:rsid w:val="0065756D"/>
    <w:rsid w:val="006575AA"/>
    <w:rsid w:val="006577E7"/>
    <w:rsid w:val="006606BC"/>
    <w:rsid w:val="00661D77"/>
    <w:rsid w:val="00662144"/>
    <w:rsid w:val="0066371C"/>
    <w:rsid w:val="006637BB"/>
    <w:rsid w:val="006637D7"/>
    <w:rsid w:val="00663886"/>
    <w:rsid w:val="0066457C"/>
    <w:rsid w:val="0066482C"/>
    <w:rsid w:val="0066506D"/>
    <w:rsid w:val="00665429"/>
    <w:rsid w:val="00665903"/>
    <w:rsid w:val="00667246"/>
    <w:rsid w:val="00671166"/>
    <w:rsid w:val="006732CA"/>
    <w:rsid w:val="0067706D"/>
    <w:rsid w:val="00677495"/>
    <w:rsid w:val="00680730"/>
    <w:rsid w:val="00680EB0"/>
    <w:rsid w:val="00682F1A"/>
    <w:rsid w:val="00684396"/>
    <w:rsid w:val="00684813"/>
    <w:rsid w:val="00685B87"/>
    <w:rsid w:val="00685B92"/>
    <w:rsid w:val="00687E64"/>
    <w:rsid w:val="00692350"/>
    <w:rsid w:val="00692855"/>
    <w:rsid w:val="00692977"/>
    <w:rsid w:val="006939C1"/>
    <w:rsid w:val="006943C4"/>
    <w:rsid w:val="00695488"/>
    <w:rsid w:val="0069565C"/>
    <w:rsid w:val="006A03A9"/>
    <w:rsid w:val="006A066E"/>
    <w:rsid w:val="006A1032"/>
    <w:rsid w:val="006A1359"/>
    <w:rsid w:val="006A21B5"/>
    <w:rsid w:val="006A25E2"/>
    <w:rsid w:val="006A28CC"/>
    <w:rsid w:val="006A2A26"/>
    <w:rsid w:val="006A3132"/>
    <w:rsid w:val="006A35D5"/>
    <w:rsid w:val="006A36B6"/>
    <w:rsid w:val="006A528A"/>
    <w:rsid w:val="006A5CE1"/>
    <w:rsid w:val="006A76A3"/>
    <w:rsid w:val="006B01BE"/>
    <w:rsid w:val="006B0DAD"/>
    <w:rsid w:val="006B0F5E"/>
    <w:rsid w:val="006B138F"/>
    <w:rsid w:val="006B16E9"/>
    <w:rsid w:val="006B1757"/>
    <w:rsid w:val="006B1DF3"/>
    <w:rsid w:val="006B2672"/>
    <w:rsid w:val="006B2B7B"/>
    <w:rsid w:val="006B2F66"/>
    <w:rsid w:val="006B33AF"/>
    <w:rsid w:val="006B3AEB"/>
    <w:rsid w:val="006B42CC"/>
    <w:rsid w:val="006B456A"/>
    <w:rsid w:val="006B476D"/>
    <w:rsid w:val="006B5AF8"/>
    <w:rsid w:val="006B6026"/>
    <w:rsid w:val="006B74C0"/>
    <w:rsid w:val="006B7E76"/>
    <w:rsid w:val="006C0B08"/>
    <w:rsid w:val="006C17B3"/>
    <w:rsid w:val="006C2512"/>
    <w:rsid w:val="006C27E4"/>
    <w:rsid w:val="006C4C50"/>
    <w:rsid w:val="006C5413"/>
    <w:rsid w:val="006C5D42"/>
    <w:rsid w:val="006C6C19"/>
    <w:rsid w:val="006C7324"/>
    <w:rsid w:val="006C7476"/>
    <w:rsid w:val="006D50D4"/>
    <w:rsid w:val="006D59B2"/>
    <w:rsid w:val="006D7FBC"/>
    <w:rsid w:val="006E1DA0"/>
    <w:rsid w:val="006E1FF2"/>
    <w:rsid w:val="006E2880"/>
    <w:rsid w:val="006E3672"/>
    <w:rsid w:val="006E3C94"/>
    <w:rsid w:val="006E56D5"/>
    <w:rsid w:val="006E58F1"/>
    <w:rsid w:val="006E60DB"/>
    <w:rsid w:val="006E638A"/>
    <w:rsid w:val="006E70D6"/>
    <w:rsid w:val="006F24BD"/>
    <w:rsid w:val="006F27C2"/>
    <w:rsid w:val="006F2A81"/>
    <w:rsid w:val="006F2E78"/>
    <w:rsid w:val="006F3055"/>
    <w:rsid w:val="006F4001"/>
    <w:rsid w:val="006F4704"/>
    <w:rsid w:val="006F58D4"/>
    <w:rsid w:val="006F5933"/>
    <w:rsid w:val="006F5F2E"/>
    <w:rsid w:val="006F603E"/>
    <w:rsid w:val="006F637E"/>
    <w:rsid w:val="006F6BC4"/>
    <w:rsid w:val="006F6BF6"/>
    <w:rsid w:val="006F72C7"/>
    <w:rsid w:val="006F7906"/>
    <w:rsid w:val="007000F0"/>
    <w:rsid w:val="00700D18"/>
    <w:rsid w:val="007011AD"/>
    <w:rsid w:val="00702533"/>
    <w:rsid w:val="00702C0A"/>
    <w:rsid w:val="00704D47"/>
    <w:rsid w:val="00706636"/>
    <w:rsid w:val="00706914"/>
    <w:rsid w:val="00707B5D"/>
    <w:rsid w:val="00710123"/>
    <w:rsid w:val="007113D0"/>
    <w:rsid w:val="00711566"/>
    <w:rsid w:val="00711E76"/>
    <w:rsid w:val="007123EA"/>
    <w:rsid w:val="00713F2C"/>
    <w:rsid w:val="00714D95"/>
    <w:rsid w:val="007178A5"/>
    <w:rsid w:val="007210CB"/>
    <w:rsid w:val="0072231A"/>
    <w:rsid w:val="007229AE"/>
    <w:rsid w:val="007242E4"/>
    <w:rsid w:val="007266AA"/>
    <w:rsid w:val="00726B11"/>
    <w:rsid w:val="00726CFE"/>
    <w:rsid w:val="00727044"/>
    <w:rsid w:val="0072785F"/>
    <w:rsid w:val="00730446"/>
    <w:rsid w:val="0073131F"/>
    <w:rsid w:val="00731BA4"/>
    <w:rsid w:val="00731C2F"/>
    <w:rsid w:val="00732FDC"/>
    <w:rsid w:val="00733A32"/>
    <w:rsid w:val="00734125"/>
    <w:rsid w:val="00734FD2"/>
    <w:rsid w:val="007351E9"/>
    <w:rsid w:val="00736D8B"/>
    <w:rsid w:val="00736E0F"/>
    <w:rsid w:val="00740BAD"/>
    <w:rsid w:val="00741BE9"/>
    <w:rsid w:val="0074325D"/>
    <w:rsid w:val="00746BFD"/>
    <w:rsid w:val="00747DC5"/>
    <w:rsid w:val="0075050C"/>
    <w:rsid w:val="00750D2C"/>
    <w:rsid w:val="00750FDB"/>
    <w:rsid w:val="00752B0B"/>
    <w:rsid w:val="00752D0B"/>
    <w:rsid w:val="00753431"/>
    <w:rsid w:val="00753848"/>
    <w:rsid w:val="00754927"/>
    <w:rsid w:val="0075534F"/>
    <w:rsid w:val="007557A3"/>
    <w:rsid w:val="00755B7C"/>
    <w:rsid w:val="00755CDD"/>
    <w:rsid w:val="00755FF5"/>
    <w:rsid w:val="0075708B"/>
    <w:rsid w:val="00757724"/>
    <w:rsid w:val="007577E1"/>
    <w:rsid w:val="0076099D"/>
    <w:rsid w:val="00760AF9"/>
    <w:rsid w:val="00761D0F"/>
    <w:rsid w:val="007623FA"/>
    <w:rsid w:val="007637D3"/>
    <w:rsid w:val="007639ED"/>
    <w:rsid w:val="00764129"/>
    <w:rsid w:val="00764C60"/>
    <w:rsid w:val="00764F3E"/>
    <w:rsid w:val="00765078"/>
    <w:rsid w:val="0076635C"/>
    <w:rsid w:val="0076684A"/>
    <w:rsid w:val="007671C9"/>
    <w:rsid w:val="00767920"/>
    <w:rsid w:val="00767BCA"/>
    <w:rsid w:val="0077020C"/>
    <w:rsid w:val="007702A8"/>
    <w:rsid w:val="007706CA"/>
    <w:rsid w:val="0077188C"/>
    <w:rsid w:val="0077214B"/>
    <w:rsid w:val="007725CD"/>
    <w:rsid w:val="00772993"/>
    <w:rsid w:val="00772FC8"/>
    <w:rsid w:val="007744AC"/>
    <w:rsid w:val="00774845"/>
    <w:rsid w:val="007748A1"/>
    <w:rsid w:val="00775091"/>
    <w:rsid w:val="00775499"/>
    <w:rsid w:val="00775BEA"/>
    <w:rsid w:val="0077635D"/>
    <w:rsid w:val="00777B28"/>
    <w:rsid w:val="00777C84"/>
    <w:rsid w:val="00782D0F"/>
    <w:rsid w:val="007836D3"/>
    <w:rsid w:val="00785E65"/>
    <w:rsid w:val="00785EF6"/>
    <w:rsid w:val="007860C8"/>
    <w:rsid w:val="00786937"/>
    <w:rsid w:val="00786E79"/>
    <w:rsid w:val="00786EC9"/>
    <w:rsid w:val="00787070"/>
    <w:rsid w:val="0078744F"/>
    <w:rsid w:val="00790AE0"/>
    <w:rsid w:val="00790CCF"/>
    <w:rsid w:val="007911B9"/>
    <w:rsid w:val="00791464"/>
    <w:rsid w:val="00791AB7"/>
    <w:rsid w:val="0079206D"/>
    <w:rsid w:val="007920D1"/>
    <w:rsid w:val="007927C0"/>
    <w:rsid w:val="007928B2"/>
    <w:rsid w:val="0079298E"/>
    <w:rsid w:val="00793177"/>
    <w:rsid w:val="007931ED"/>
    <w:rsid w:val="007937FF"/>
    <w:rsid w:val="00794AA3"/>
    <w:rsid w:val="00794D68"/>
    <w:rsid w:val="00797103"/>
    <w:rsid w:val="00797565"/>
    <w:rsid w:val="007A0316"/>
    <w:rsid w:val="007A0C5F"/>
    <w:rsid w:val="007A146B"/>
    <w:rsid w:val="007A1F9C"/>
    <w:rsid w:val="007A28B5"/>
    <w:rsid w:val="007A2F04"/>
    <w:rsid w:val="007A3024"/>
    <w:rsid w:val="007A4B78"/>
    <w:rsid w:val="007A7492"/>
    <w:rsid w:val="007B094F"/>
    <w:rsid w:val="007B0EFC"/>
    <w:rsid w:val="007B22B7"/>
    <w:rsid w:val="007B2558"/>
    <w:rsid w:val="007B38A1"/>
    <w:rsid w:val="007B5EBC"/>
    <w:rsid w:val="007B62B4"/>
    <w:rsid w:val="007B7A06"/>
    <w:rsid w:val="007B7D87"/>
    <w:rsid w:val="007B7DC2"/>
    <w:rsid w:val="007C01A2"/>
    <w:rsid w:val="007C1FE7"/>
    <w:rsid w:val="007C2112"/>
    <w:rsid w:val="007C44B6"/>
    <w:rsid w:val="007C5786"/>
    <w:rsid w:val="007C5CD2"/>
    <w:rsid w:val="007C5D21"/>
    <w:rsid w:val="007C657D"/>
    <w:rsid w:val="007C6AF8"/>
    <w:rsid w:val="007C7341"/>
    <w:rsid w:val="007D0A70"/>
    <w:rsid w:val="007D0BE5"/>
    <w:rsid w:val="007D1C4C"/>
    <w:rsid w:val="007D2902"/>
    <w:rsid w:val="007D382E"/>
    <w:rsid w:val="007D3C1E"/>
    <w:rsid w:val="007D498D"/>
    <w:rsid w:val="007D4BB8"/>
    <w:rsid w:val="007D4BE8"/>
    <w:rsid w:val="007D597B"/>
    <w:rsid w:val="007D6090"/>
    <w:rsid w:val="007D70B0"/>
    <w:rsid w:val="007D721A"/>
    <w:rsid w:val="007D7786"/>
    <w:rsid w:val="007D7AC6"/>
    <w:rsid w:val="007E0F05"/>
    <w:rsid w:val="007E173F"/>
    <w:rsid w:val="007E2482"/>
    <w:rsid w:val="007E2673"/>
    <w:rsid w:val="007E38F7"/>
    <w:rsid w:val="007E4171"/>
    <w:rsid w:val="007E50EE"/>
    <w:rsid w:val="007E549F"/>
    <w:rsid w:val="007E74C8"/>
    <w:rsid w:val="007E7EC5"/>
    <w:rsid w:val="007F0FA0"/>
    <w:rsid w:val="007F3348"/>
    <w:rsid w:val="007F36FB"/>
    <w:rsid w:val="007F4851"/>
    <w:rsid w:val="007F6A5C"/>
    <w:rsid w:val="00800AD2"/>
    <w:rsid w:val="00801873"/>
    <w:rsid w:val="0080190B"/>
    <w:rsid w:val="00801D44"/>
    <w:rsid w:val="00801F19"/>
    <w:rsid w:val="00802369"/>
    <w:rsid w:val="00802BC6"/>
    <w:rsid w:val="00802CE1"/>
    <w:rsid w:val="00805F14"/>
    <w:rsid w:val="00806C1E"/>
    <w:rsid w:val="00806D5D"/>
    <w:rsid w:val="008077B8"/>
    <w:rsid w:val="008077BE"/>
    <w:rsid w:val="0081052D"/>
    <w:rsid w:val="008119C9"/>
    <w:rsid w:val="00811A54"/>
    <w:rsid w:val="008121ED"/>
    <w:rsid w:val="00813B82"/>
    <w:rsid w:val="008158CB"/>
    <w:rsid w:val="00815BAE"/>
    <w:rsid w:val="008160FF"/>
    <w:rsid w:val="008161BD"/>
    <w:rsid w:val="0082266E"/>
    <w:rsid w:val="0082486B"/>
    <w:rsid w:val="00827157"/>
    <w:rsid w:val="0082739A"/>
    <w:rsid w:val="00830B7E"/>
    <w:rsid w:val="008312FC"/>
    <w:rsid w:val="0083234D"/>
    <w:rsid w:val="0083372D"/>
    <w:rsid w:val="00834080"/>
    <w:rsid w:val="0083474A"/>
    <w:rsid w:val="00834A20"/>
    <w:rsid w:val="00834DC6"/>
    <w:rsid w:val="00835AB2"/>
    <w:rsid w:val="008362CF"/>
    <w:rsid w:val="00836AD1"/>
    <w:rsid w:val="008379C5"/>
    <w:rsid w:val="00837E95"/>
    <w:rsid w:val="00837FA6"/>
    <w:rsid w:val="00841EDE"/>
    <w:rsid w:val="00842E4A"/>
    <w:rsid w:val="008435F8"/>
    <w:rsid w:val="00843889"/>
    <w:rsid w:val="008439ED"/>
    <w:rsid w:val="00843E6C"/>
    <w:rsid w:val="008451E8"/>
    <w:rsid w:val="0084554E"/>
    <w:rsid w:val="008458CB"/>
    <w:rsid w:val="00846199"/>
    <w:rsid w:val="00847E9F"/>
    <w:rsid w:val="00852BBE"/>
    <w:rsid w:val="00853380"/>
    <w:rsid w:val="00853A26"/>
    <w:rsid w:val="00853D8C"/>
    <w:rsid w:val="00854874"/>
    <w:rsid w:val="00855077"/>
    <w:rsid w:val="008551D7"/>
    <w:rsid w:val="00855868"/>
    <w:rsid w:val="008563D4"/>
    <w:rsid w:val="0085797B"/>
    <w:rsid w:val="00857B00"/>
    <w:rsid w:val="0086067A"/>
    <w:rsid w:val="00860CFA"/>
    <w:rsid w:val="00861E3C"/>
    <w:rsid w:val="008621A5"/>
    <w:rsid w:val="0086226F"/>
    <w:rsid w:val="008650B8"/>
    <w:rsid w:val="00865CD1"/>
    <w:rsid w:val="00866270"/>
    <w:rsid w:val="008662A6"/>
    <w:rsid w:val="00867248"/>
    <w:rsid w:val="0087079D"/>
    <w:rsid w:val="008724B7"/>
    <w:rsid w:val="008726E6"/>
    <w:rsid w:val="00873233"/>
    <w:rsid w:val="0087408C"/>
    <w:rsid w:val="00874929"/>
    <w:rsid w:val="00874B2A"/>
    <w:rsid w:val="008757EF"/>
    <w:rsid w:val="00875D09"/>
    <w:rsid w:val="00877903"/>
    <w:rsid w:val="0088023C"/>
    <w:rsid w:val="00881B11"/>
    <w:rsid w:val="00882A93"/>
    <w:rsid w:val="0088332D"/>
    <w:rsid w:val="008838FE"/>
    <w:rsid w:val="00883D9E"/>
    <w:rsid w:val="00884DC7"/>
    <w:rsid w:val="008852C1"/>
    <w:rsid w:val="00885C3B"/>
    <w:rsid w:val="008860BF"/>
    <w:rsid w:val="00886E56"/>
    <w:rsid w:val="008871A4"/>
    <w:rsid w:val="008911A6"/>
    <w:rsid w:val="008917CF"/>
    <w:rsid w:val="00891A21"/>
    <w:rsid w:val="00891E52"/>
    <w:rsid w:val="00892343"/>
    <w:rsid w:val="008925D2"/>
    <w:rsid w:val="008939E2"/>
    <w:rsid w:val="00894232"/>
    <w:rsid w:val="008942F6"/>
    <w:rsid w:val="0089632A"/>
    <w:rsid w:val="00896E87"/>
    <w:rsid w:val="00897E24"/>
    <w:rsid w:val="008A0D4B"/>
    <w:rsid w:val="008A1031"/>
    <w:rsid w:val="008A230F"/>
    <w:rsid w:val="008A2373"/>
    <w:rsid w:val="008A4BC7"/>
    <w:rsid w:val="008A4CFE"/>
    <w:rsid w:val="008A528D"/>
    <w:rsid w:val="008A57D7"/>
    <w:rsid w:val="008A6594"/>
    <w:rsid w:val="008A66F5"/>
    <w:rsid w:val="008B003F"/>
    <w:rsid w:val="008B06CB"/>
    <w:rsid w:val="008B0B78"/>
    <w:rsid w:val="008B11DC"/>
    <w:rsid w:val="008B1A56"/>
    <w:rsid w:val="008B2B2F"/>
    <w:rsid w:val="008B32F4"/>
    <w:rsid w:val="008B3E0D"/>
    <w:rsid w:val="008B59F4"/>
    <w:rsid w:val="008C03AB"/>
    <w:rsid w:val="008C0C9F"/>
    <w:rsid w:val="008C100F"/>
    <w:rsid w:val="008C2072"/>
    <w:rsid w:val="008C36BA"/>
    <w:rsid w:val="008C3ABA"/>
    <w:rsid w:val="008C47B1"/>
    <w:rsid w:val="008C5269"/>
    <w:rsid w:val="008C5501"/>
    <w:rsid w:val="008C565F"/>
    <w:rsid w:val="008C6748"/>
    <w:rsid w:val="008C720F"/>
    <w:rsid w:val="008C725C"/>
    <w:rsid w:val="008C7578"/>
    <w:rsid w:val="008D0643"/>
    <w:rsid w:val="008D0A65"/>
    <w:rsid w:val="008D0D0D"/>
    <w:rsid w:val="008D1A37"/>
    <w:rsid w:val="008D3096"/>
    <w:rsid w:val="008D57B1"/>
    <w:rsid w:val="008D6054"/>
    <w:rsid w:val="008E07A1"/>
    <w:rsid w:val="008E11D3"/>
    <w:rsid w:val="008E227B"/>
    <w:rsid w:val="008E2F12"/>
    <w:rsid w:val="008E4462"/>
    <w:rsid w:val="008E67B2"/>
    <w:rsid w:val="008E7166"/>
    <w:rsid w:val="008E7E0D"/>
    <w:rsid w:val="008F1AD6"/>
    <w:rsid w:val="008F1BF3"/>
    <w:rsid w:val="008F2171"/>
    <w:rsid w:val="008F2825"/>
    <w:rsid w:val="008F36D2"/>
    <w:rsid w:val="008F4908"/>
    <w:rsid w:val="008F5FD3"/>
    <w:rsid w:val="008F7FDD"/>
    <w:rsid w:val="00901452"/>
    <w:rsid w:val="00901535"/>
    <w:rsid w:val="00901A9A"/>
    <w:rsid w:val="00901F40"/>
    <w:rsid w:val="00902CF5"/>
    <w:rsid w:val="009032FA"/>
    <w:rsid w:val="00903A58"/>
    <w:rsid w:val="00904141"/>
    <w:rsid w:val="009042FA"/>
    <w:rsid w:val="009055D8"/>
    <w:rsid w:val="009062B7"/>
    <w:rsid w:val="00907429"/>
    <w:rsid w:val="009074E1"/>
    <w:rsid w:val="00911054"/>
    <w:rsid w:val="00911A32"/>
    <w:rsid w:val="00913309"/>
    <w:rsid w:val="00913582"/>
    <w:rsid w:val="00914A18"/>
    <w:rsid w:val="00915190"/>
    <w:rsid w:val="009164A2"/>
    <w:rsid w:val="009166DB"/>
    <w:rsid w:val="00916966"/>
    <w:rsid w:val="00916F23"/>
    <w:rsid w:val="00917A23"/>
    <w:rsid w:val="0092053F"/>
    <w:rsid w:val="00922C07"/>
    <w:rsid w:val="00922F7C"/>
    <w:rsid w:val="00923039"/>
    <w:rsid w:val="00925A28"/>
    <w:rsid w:val="00927298"/>
    <w:rsid w:val="009273AE"/>
    <w:rsid w:val="00930146"/>
    <w:rsid w:val="00934708"/>
    <w:rsid w:val="009364D3"/>
    <w:rsid w:val="00936E22"/>
    <w:rsid w:val="0093710F"/>
    <w:rsid w:val="00937A92"/>
    <w:rsid w:val="009414C9"/>
    <w:rsid w:val="0094232F"/>
    <w:rsid w:val="00943650"/>
    <w:rsid w:val="009436C4"/>
    <w:rsid w:val="009451AA"/>
    <w:rsid w:val="009469E8"/>
    <w:rsid w:val="009472C0"/>
    <w:rsid w:val="00950F1F"/>
    <w:rsid w:val="009516C8"/>
    <w:rsid w:val="00952417"/>
    <w:rsid w:val="00954F2F"/>
    <w:rsid w:val="0095705A"/>
    <w:rsid w:val="009579E1"/>
    <w:rsid w:val="009604AA"/>
    <w:rsid w:val="00960A61"/>
    <w:rsid w:val="00960BB8"/>
    <w:rsid w:val="00960D33"/>
    <w:rsid w:val="009630BE"/>
    <w:rsid w:val="009640D9"/>
    <w:rsid w:val="009653EF"/>
    <w:rsid w:val="0096579F"/>
    <w:rsid w:val="00970218"/>
    <w:rsid w:val="009703E5"/>
    <w:rsid w:val="00970944"/>
    <w:rsid w:val="00971884"/>
    <w:rsid w:val="009735C5"/>
    <w:rsid w:val="00973A2A"/>
    <w:rsid w:val="00973B26"/>
    <w:rsid w:val="00974FEE"/>
    <w:rsid w:val="00980A6D"/>
    <w:rsid w:val="0098191B"/>
    <w:rsid w:val="009827F4"/>
    <w:rsid w:val="009848D8"/>
    <w:rsid w:val="00985837"/>
    <w:rsid w:val="00985AF7"/>
    <w:rsid w:val="00985C1F"/>
    <w:rsid w:val="009873DA"/>
    <w:rsid w:val="009875D2"/>
    <w:rsid w:val="00987B3A"/>
    <w:rsid w:val="00987B4F"/>
    <w:rsid w:val="00990930"/>
    <w:rsid w:val="00990E3F"/>
    <w:rsid w:val="009922C4"/>
    <w:rsid w:val="00992A82"/>
    <w:rsid w:val="00992E1C"/>
    <w:rsid w:val="009936B8"/>
    <w:rsid w:val="0099387A"/>
    <w:rsid w:val="009950E2"/>
    <w:rsid w:val="00995AFE"/>
    <w:rsid w:val="00995DF9"/>
    <w:rsid w:val="00996BEC"/>
    <w:rsid w:val="00997915"/>
    <w:rsid w:val="009A0D41"/>
    <w:rsid w:val="009A13D0"/>
    <w:rsid w:val="009A17F9"/>
    <w:rsid w:val="009A1F6F"/>
    <w:rsid w:val="009A2637"/>
    <w:rsid w:val="009A2AED"/>
    <w:rsid w:val="009A32A1"/>
    <w:rsid w:val="009A4845"/>
    <w:rsid w:val="009A4B47"/>
    <w:rsid w:val="009A5D7C"/>
    <w:rsid w:val="009A6690"/>
    <w:rsid w:val="009A6F1D"/>
    <w:rsid w:val="009B0702"/>
    <w:rsid w:val="009B09AD"/>
    <w:rsid w:val="009B0CB9"/>
    <w:rsid w:val="009B139F"/>
    <w:rsid w:val="009B1550"/>
    <w:rsid w:val="009B294C"/>
    <w:rsid w:val="009B3164"/>
    <w:rsid w:val="009B3786"/>
    <w:rsid w:val="009B3DCE"/>
    <w:rsid w:val="009B468A"/>
    <w:rsid w:val="009B46B0"/>
    <w:rsid w:val="009B4778"/>
    <w:rsid w:val="009B4869"/>
    <w:rsid w:val="009B52B8"/>
    <w:rsid w:val="009B5366"/>
    <w:rsid w:val="009B624D"/>
    <w:rsid w:val="009B6BEF"/>
    <w:rsid w:val="009B6D9D"/>
    <w:rsid w:val="009B6EDD"/>
    <w:rsid w:val="009B7034"/>
    <w:rsid w:val="009B73B4"/>
    <w:rsid w:val="009C1C7D"/>
    <w:rsid w:val="009C2A46"/>
    <w:rsid w:val="009C2E93"/>
    <w:rsid w:val="009C4989"/>
    <w:rsid w:val="009C4DEE"/>
    <w:rsid w:val="009C52CD"/>
    <w:rsid w:val="009C5511"/>
    <w:rsid w:val="009C5CC9"/>
    <w:rsid w:val="009C61FE"/>
    <w:rsid w:val="009C67E1"/>
    <w:rsid w:val="009C68A4"/>
    <w:rsid w:val="009C7B6B"/>
    <w:rsid w:val="009C7C2E"/>
    <w:rsid w:val="009C7FFA"/>
    <w:rsid w:val="009D00EB"/>
    <w:rsid w:val="009D0155"/>
    <w:rsid w:val="009D10F2"/>
    <w:rsid w:val="009D22A4"/>
    <w:rsid w:val="009D2545"/>
    <w:rsid w:val="009D26A9"/>
    <w:rsid w:val="009D3BCF"/>
    <w:rsid w:val="009D4491"/>
    <w:rsid w:val="009D4E5D"/>
    <w:rsid w:val="009D528C"/>
    <w:rsid w:val="009D535C"/>
    <w:rsid w:val="009D5CD1"/>
    <w:rsid w:val="009D6BF5"/>
    <w:rsid w:val="009D7C82"/>
    <w:rsid w:val="009E0A69"/>
    <w:rsid w:val="009E16C3"/>
    <w:rsid w:val="009E197D"/>
    <w:rsid w:val="009E1A97"/>
    <w:rsid w:val="009E1B8B"/>
    <w:rsid w:val="009E26AE"/>
    <w:rsid w:val="009E349D"/>
    <w:rsid w:val="009E42C4"/>
    <w:rsid w:val="009E6616"/>
    <w:rsid w:val="009E7174"/>
    <w:rsid w:val="009E7FD9"/>
    <w:rsid w:val="009F0E77"/>
    <w:rsid w:val="009F11F4"/>
    <w:rsid w:val="009F1C7A"/>
    <w:rsid w:val="009F1D42"/>
    <w:rsid w:val="009F2762"/>
    <w:rsid w:val="009F2C3E"/>
    <w:rsid w:val="009F32EF"/>
    <w:rsid w:val="009F33DD"/>
    <w:rsid w:val="009F3417"/>
    <w:rsid w:val="009F36AD"/>
    <w:rsid w:val="009F4219"/>
    <w:rsid w:val="009F54C2"/>
    <w:rsid w:val="009F551E"/>
    <w:rsid w:val="009F57E2"/>
    <w:rsid w:val="009F619E"/>
    <w:rsid w:val="009F6CF2"/>
    <w:rsid w:val="009F798F"/>
    <w:rsid w:val="009F7F96"/>
    <w:rsid w:val="00A014D3"/>
    <w:rsid w:val="00A01F4F"/>
    <w:rsid w:val="00A034D2"/>
    <w:rsid w:val="00A0497A"/>
    <w:rsid w:val="00A0558F"/>
    <w:rsid w:val="00A070CA"/>
    <w:rsid w:val="00A10432"/>
    <w:rsid w:val="00A104E9"/>
    <w:rsid w:val="00A120D0"/>
    <w:rsid w:val="00A13235"/>
    <w:rsid w:val="00A1348A"/>
    <w:rsid w:val="00A13860"/>
    <w:rsid w:val="00A13DFF"/>
    <w:rsid w:val="00A15292"/>
    <w:rsid w:val="00A15AC7"/>
    <w:rsid w:val="00A15CB3"/>
    <w:rsid w:val="00A15E70"/>
    <w:rsid w:val="00A16180"/>
    <w:rsid w:val="00A16998"/>
    <w:rsid w:val="00A16A74"/>
    <w:rsid w:val="00A20489"/>
    <w:rsid w:val="00A205F2"/>
    <w:rsid w:val="00A21C53"/>
    <w:rsid w:val="00A229CA"/>
    <w:rsid w:val="00A23D11"/>
    <w:rsid w:val="00A26CCF"/>
    <w:rsid w:val="00A27663"/>
    <w:rsid w:val="00A30002"/>
    <w:rsid w:val="00A30491"/>
    <w:rsid w:val="00A304F1"/>
    <w:rsid w:val="00A3235F"/>
    <w:rsid w:val="00A32FBB"/>
    <w:rsid w:val="00A33109"/>
    <w:rsid w:val="00A33927"/>
    <w:rsid w:val="00A33B1E"/>
    <w:rsid w:val="00A33E98"/>
    <w:rsid w:val="00A375A1"/>
    <w:rsid w:val="00A37999"/>
    <w:rsid w:val="00A4214B"/>
    <w:rsid w:val="00A42BD1"/>
    <w:rsid w:val="00A441DA"/>
    <w:rsid w:val="00A465DC"/>
    <w:rsid w:val="00A47307"/>
    <w:rsid w:val="00A47661"/>
    <w:rsid w:val="00A5184E"/>
    <w:rsid w:val="00A520DB"/>
    <w:rsid w:val="00A52AE2"/>
    <w:rsid w:val="00A55660"/>
    <w:rsid w:val="00A55E09"/>
    <w:rsid w:val="00A568FC"/>
    <w:rsid w:val="00A615F3"/>
    <w:rsid w:val="00A62282"/>
    <w:rsid w:val="00A627E7"/>
    <w:rsid w:val="00A635A2"/>
    <w:rsid w:val="00A63660"/>
    <w:rsid w:val="00A636F3"/>
    <w:rsid w:val="00A63700"/>
    <w:rsid w:val="00A64569"/>
    <w:rsid w:val="00A64E1E"/>
    <w:rsid w:val="00A65C0D"/>
    <w:rsid w:val="00A67BA0"/>
    <w:rsid w:val="00A705BE"/>
    <w:rsid w:val="00A70ABA"/>
    <w:rsid w:val="00A71C3E"/>
    <w:rsid w:val="00A7202E"/>
    <w:rsid w:val="00A72620"/>
    <w:rsid w:val="00A73059"/>
    <w:rsid w:val="00A73662"/>
    <w:rsid w:val="00A73F1F"/>
    <w:rsid w:val="00A751E4"/>
    <w:rsid w:val="00A755FB"/>
    <w:rsid w:val="00A756BA"/>
    <w:rsid w:val="00A75D5C"/>
    <w:rsid w:val="00A7609E"/>
    <w:rsid w:val="00A771A4"/>
    <w:rsid w:val="00A779B5"/>
    <w:rsid w:val="00A779CD"/>
    <w:rsid w:val="00A809CC"/>
    <w:rsid w:val="00A810CC"/>
    <w:rsid w:val="00A82445"/>
    <w:rsid w:val="00A82B93"/>
    <w:rsid w:val="00A83887"/>
    <w:rsid w:val="00A8484A"/>
    <w:rsid w:val="00A84CD7"/>
    <w:rsid w:val="00A84D33"/>
    <w:rsid w:val="00A858C2"/>
    <w:rsid w:val="00A85DEA"/>
    <w:rsid w:val="00A860D2"/>
    <w:rsid w:val="00A86FF8"/>
    <w:rsid w:val="00A873A2"/>
    <w:rsid w:val="00A92B1D"/>
    <w:rsid w:val="00A948D3"/>
    <w:rsid w:val="00AA0459"/>
    <w:rsid w:val="00AA0636"/>
    <w:rsid w:val="00AA09C6"/>
    <w:rsid w:val="00AA1531"/>
    <w:rsid w:val="00AA2B45"/>
    <w:rsid w:val="00AA3124"/>
    <w:rsid w:val="00AA3208"/>
    <w:rsid w:val="00AA56C5"/>
    <w:rsid w:val="00AA5B71"/>
    <w:rsid w:val="00AA5C4A"/>
    <w:rsid w:val="00AA6102"/>
    <w:rsid w:val="00AA6197"/>
    <w:rsid w:val="00AA7D61"/>
    <w:rsid w:val="00AB1661"/>
    <w:rsid w:val="00AB36C1"/>
    <w:rsid w:val="00AB3F16"/>
    <w:rsid w:val="00AB412D"/>
    <w:rsid w:val="00AB4284"/>
    <w:rsid w:val="00AB5DFE"/>
    <w:rsid w:val="00AB7984"/>
    <w:rsid w:val="00AC1444"/>
    <w:rsid w:val="00AC1885"/>
    <w:rsid w:val="00AC1A1C"/>
    <w:rsid w:val="00AC20B4"/>
    <w:rsid w:val="00AC26D8"/>
    <w:rsid w:val="00AC46C8"/>
    <w:rsid w:val="00AC510C"/>
    <w:rsid w:val="00AC6314"/>
    <w:rsid w:val="00AC74E5"/>
    <w:rsid w:val="00AC77CA"/>
    <w:rsid w:val="00AC7B4E"/>
    <w:rsid w:val="00AC7D94"/>
    <w:rsid w:val="00AD0580"/>
    <w:rsid w:val="00AD0729"/>
    <w:rsid w:val="00AD17C2"/>
    <w:rsid w:val="00AD1AE7"/>
    <w:rsid w:val="00AD22C6"/>
    <w:rsid w:val="00AD2C85"/>
    <w:rsid w:val="00AD33C8"/>
    <w:rsid w:val="00AD4714"/>
    <w:rsid w:val="00AD4DBE"/>
    <w:rsid w:val="00AD4EED"/>
    <w:rsid w:val="00AD50B2"/>
    <w:rsid w:val="00AD5446"/>
    <w:rsid w:val="00AD630F"/>
    <w:rsid w:val="00AD6897"/>
    <w:rsid w:val="00AD6F8A"/>
    <w:rsid w:val="00AD7626"/>
    <w:rsid w:val="00AE0807"/>
    <w:rsid w:val="00AE1218"/>
    <w:rsid w:val="00AE128A"/>
    <w:rsid w:val="00AE223E"/>
    <w:rsid w:val="00AE24FF"/>
    <w:rsid w:val="00AE2D6A"/>
    <w:rsid w:val="00AE30EE"/>
    <w:rsid w:val="00AE3929"/>
    <w:rsid w:val="00AE4B88"/>
    <w:rsid w:val="00AE4CA0"/>
    <w:rsid w:val="00AE4D99"/>
    <w:rsid w:val="00AE4DFB"/>
    <w:rsid w:val="00AE564B"/>
    <w:rsid w:val="00AE5C1E"/>
    <w:rsid w:val="00AE7D7C"/>
    <w:rsid w:val="00AF044D"/>
    <w:rsid w:val="00AF1B69"/>
    <w:rsid w:val="00AF2E8B"/>
    <w:rsid w:val="00AF5397"/>
    <w:rsid w:val="00AF5BF5"/>
    <w:rsid w:val="00AF6149"/>
    <w:rsid w:val="00AF689E"/>
    <w:rsid w:val="00AF70AC"/>
    <w:rsid w:val="00AF765F"/>
    <w:rsid w:val="00B013D2"/>
    <w:rsid w:val="00B0157D"/>
    <w:rsid w:val="00B02B2E"/>
    <w:rsid w:val="00B02D04"/>
    <w:rsid w:val="00B0313F"/>
    <w:rsid w:val="00B069D5"/>
    <w:rsid w:val="00B06CE9"/>
    <w:rsid w:val="00B1052E"/>
    <w:rsid w:val="00B109A0"/>
    <w:rsid w:val="00B10BF6"/>
    <w:rsid w:val="00B111A4"/>
    <w:rsid w:val="00B11C0E"/>
    <w:rsid w:val="00B1200F"/>
    <w:rsid w:val="00B1422C"/>
    <w:rsid w:val="00B16D69"/>
    <w:rsid w:val="00B16E0A"/>
    <w:rsid w:val="00B1746D"/>
    <w:rsid w:val="00B204FD"/>
    <w:rsid w:val="00B20BC7"/>
    <w:rsid w:val="00B20C8E"/>
    <w:rsid w:val="00B21529"/>
    <w:rsid w:val="00B2207C"/>
    <w:rsid w:val="00B232E8"/>
    <w:rsid w:val="00B24C3B"/>
    <w:rsid w:val="00B2519E"/>
    <w:rsid w:val="00B2572B"/>
    <w:rsid w:val="00B25C5F"/>
    <w:rsid w:val="00B26AAE"/>
    <w:rsid w:val="00B272B9"/>
    <w:rsid w:val="00B30ACD"/>
    <w:rsid w:val="00B31AC6"/>
    <w:rsid w:val="00B32115"/>
    <w:rsid w:val="00B32681"/>
    <w:rsid w:val="00B32920"/>
    <w:rsid w:val="00B32FB7"/>
    <w:rsid w:val="00B335C4"/>
    <w:rsid w:val="00B3388C"/>
    <w:rsid w:val="00B339F1"/>
    <w:rsid w:val="00B33B90"/>
    <w:rsid w:val="00B35141"/>
    <w:rsid w:val="00B360BE"/>
    <w:rsid w:val="00B36869"/>
    <w:rsid w:val="00B376FB"/>
    <w:rsid w:val="00B40A02"/>
    <w:rsid w:val="00B41A21"/>
    <w:rsid w:val="00B428BE"/>
    <w:rsid w:val="00B45D1D"/>
    <w:rsid w:val="00B45D8F"/>
    <w:rsid w:val="00B46162"/>
    <w:rsid w:val="00B46AD6"/>
    <w:rsid w:val="00B4798E"/>
    <w:rsid w:val="00B51B1F"/>
    <w:rsid w:val="00B51BF1"/>
    <w:rsid w:val="00B549E2"/>
    <w:rsid w:val="00B55DF5"/>
    <w:rsid w:val="00B576E3"/>
    <w:rsid w:val="00B6005B"/>
    <w:rsid w:val="00B60680"/>
    <w:rsid w:val="00B6069C"/>
    <w:rsid w:val="00B61270"/>
    <w:rsid w:val="00B612CE"/>
    <w:rsid w:val="00B618CC"/>
    <w:rsid w:val="00B6200A"/>
    <w:rsid w:val="00B6273F"/>
    <w:rsid w:val="00B62A56"/>
    <w:rsid w:val="00B62A9D"/>
    <w:rsid w:val="00B64ABA"/>
    <w:rsid w:val="00B64C91"/>
    <w:rsid w:val="00B64DA0"/>
    <w:rsid w:val="00B65012"/>
    <w:rsid w:val="00B65565"/>
    <w:rsid w:val="00B655EC"/>
    <w:rsid w:val="00B66456"/>
    <w:rsid w:val="00B66548"/>
    <w:rsid w:val="00B66950"/>
    <w:rsid w:val="00B672CA"/>
    <w:rsid w:val="00B67645"/>
    <w:rsid w:val="00B67C5A"/>
    <w:rsid w:val="00B67C74"/>
    <w:rsid w:val="00B708C8"/>
    <w:rsid w:val="00B70AC9"/>
    <w:rsid w:val="00B71A9B"/>
    <w:rsid w:val="00B71F69"/>
    <w:rsid w:val="00B71F94"/>
    <w:rsid w:val="00B725EA"/>
    <w:rsid w:val="00B729D5"/>
    <w:rsid w:val="00B7549B"/>
    <w:rsid w:val="00B75C1E"/>
    <w:rsid w:val="00B76D24"/>
    <w:rsid w:val="00B7731B"/>
    <w:rsid w:val="00B80DDF"/>
    <w:rsid w:val="00B822AC"/>
    <w:rsid w:val="00B84749"/>
    <w:rsid w:val="00B850BA"/>
    <w:rsid w:val="00B850EE"/>
    <w:rsid w:val="00B85872"/>
    <w:rsid w:val="00B85FB4"/>
    <w:rsid w:val="00B86482"/>
    <w:rsid w:val="00B879CE"/>
    <w:rsid w:val="00B87DCA"/>
    <w:rsid w:val="00B87FBA"/>
    <w:rsid w:val="00B90509"/>
    <w:rsid w:val="00B909C5"/>
    <w:rsid w:val="00B90E7A"/>
    <w:rsid w:val="00B9133A"/>
    <w:rsid w:val="00B91C74"/>
    <w:rsid w:val="00B91EAB"/>
    <w:rsid w:val="00B939A2"/>
    <w:rsid w:val="00B940E9"/>
    <w:rsid w:val="00B94856"/>
    <w:rsid w:val="00B9486A"/>
    <w:rsid w:val="00B96B62"/>
    <w:rsid w:val="00B97A9E"/>
    <w:rsid w:val="00BA0023"/>
    <w:rsid w:val="00BA0896"/>
    <w:rsid w:val="00BA2146"/>
    <w:rsid w:val="00BA36A8"/>
    <w:rsid w:val="00BA4008"/>
    <w:rsid w:val="00BA79F9"/>
    <w:rsid w:val="00BA7C97"/>
    <w:rsid w:val="00BB03AE"/>
    <w:rsid w:val="00BB174D"/>
    <w:rsid w:val="00BB1F9B"/>
    <w:rsid w:val="00BB25DA"/>
    <w:rsid w:val="00BB2C52"/>
    <w:rsid w:val="00BB2F87"/>
    <w:rsid w:val="00BB3F54"/>
    <w:rsid w:val="00BB51F1"/>
    <w:rsid w:val="00BB5580"/>
    <w:rsid w:val="00BB5A5B"/>
    <w:rsid w:val="00BB5C29"/>
    <w:rsid w:val="00BB5C87"/>
    <w:rsid w:val="00BB6158"/>
    <w:rsid w:val="00BB73B6"/>
    <w:rsid w:val="00BC1D65"/>
    <w:rsid w:val="00BC4F90"/>
    <w:rsid w:val="00BC5C23"/>
    <w:rsid w:val="00BC64FC"/>
    <w:rsid w:val="00BC7210"/>
    <w:rsid w:val="00BD0ECD"/>
    <w:rsid w:val="00BD1242"/>
    <w:rsid w:val="00BD3495"/>
    <w:rsid w:val="00BD3CC8"/>
    <w:rsid w:val="00BD3E3B"/>
    <w:rsid w:val="00BD50C4"/>
    <w:rsid w:val="00BD580D"/>
    <w:rsid w:val="00BD5B33"/>
    <w:rsid w:val="00BD5DE4"/>
    <w:rsid w:val="00BD6E37"/>
    <w:rsid w:val="00BD72A4"/>
    <w:rsid w:val="00BD7A71"/>
    <w:rsid w:val="00BE1118"/>
    <w:rsid w:val="00BE155B"/>
    <w:rsid w:val="00BE1E19"/>
    <w:rsid w:val="00BE2AA6"/>
    <w:rsid w:val="00BE3203"/>
    <w:rsid w:val="00BE332B"/>
    <w:rsid w:val="00BE424E"/>
    <w:rsid w:val="00BE43D4"/>
    <w:rsid w:val="00BE4585"/>
    <w:rsid w:val="00BE46C1"/>
    <w:rsid w:val="00BE477D"/>
    <w:rsid w:val="00BF3696"/>
    <w:rsid w:val="00BF38B0"/>
    <w:rsid w:val="00BF4837"/>
    <w:rsid w:val="00BF594D"/>
    <w:rsid w:val="00BF69A1"/>
    <w:rsid w:val="00BF6F7C"/>
    <w:rsid w:val="00BF77D4"/>
    <w:rsid w:val="00BF79E0"/>
    <w:rsid w:val="00C01D48"/>
    <w:rsid w:val="00C03929"/>
    <w:rsid w:val="00C039F3"/>
    <w:rsid w:val="00C03E51"/>
    <w:rsid w:val="00C0445C"/>
    <w:rsid w:val="00C06BD9"/>
    <w:rsid w:val="00C07B86"/>
    <w:rsid w:val="00C11270"/>
    <w:rsid w:val="00C12EFB"/>
    <w:rsid w:val="00C13B87"/>
    <w:rsid w:val="00C15105"/>
    <w:rsid w:val="00C17197"/>
    <w:rsid w:val="00C21239"/>
    <w:rsid w:val="00C2304A"/>
    <w:rsid w:val="00C234CE"/>
    <w:rsid w:val="00C269C2"/>
    <w:rsid w:val="00C273DC"/>
    <w:rsid w:val="00C2752D"/>
    <w:rsid w:val="00C305E4"/>
    <w:rsid w:val="00C31E0B"/>
    <w:rsid w:val="00C33AA0"/>
    <w:rsid w:val="00C366A7"/>
    <w:rsid w:val="00C36AAD"/>
    <w:rsid w:val="00C37236"/>
    <w:rsid w:val="00C37375"/>
    <w:rsid w:val="00C379AC"/>
    <w:rsid w:val="00C37D9F"/>
    <w:rsid w:val="00C4075A"/>
    <w:rsid w:val="00C4261B"/>
    <w:rsid w:val="00C42C8C"/>
    <w:rsid w:val="00C447EB"/>
    <w:rsid w:val="00C44D79"/>
    <w:rsid w:val="00C451CB"/>
    <w:rsid w:val="00C458AF"/>
    <w:rsid w:val="00C45AD0"/>
    <w:rsid w:val="00C46450"/>
    <w:rsid w:val="00C47048"/>
    <w:rsid w:val="00C50486"/>
    <w:rsid w:val="00C50DCC"/>
    <w:rsid w:val="00C511B0"/>
    <w:rsid w:val="00C51C96"/>
    <w:rsid w:val="00C51D5F"/>
    <w:rsid w:val="00C51DF8"/>
    <w:rsid w:val="00C52609"/>
    <w:rsid w:val="00C52770"/>
    <w:rsid w:val="00C5292C"/>
    <w:rsid w:val="00C529C0"/>
    <w:rsid w:val="00C531E8"/>
    <w:rsid w:val="00C55A5D"/>
    <w:rsid w:val="00C601C7"/>
    <w:rsid w:val="00C60308"/>
    <w:rsid w:val="00C605AD"/>
    <w:rsid w:val="00C610D4"/>
    <w:rsid w:val="00C61CCF"/>
    <w:rsid w:val="00C6270A"/>
    <w:rsid w:val="00C6354A"/>
    <w:rsid w:val="00C63C8E"/>
    <w:rsid w:val="00C63CE1"/>
    <w:rsid w:val="00C63DF2"/>
    <w:rsid w:val="00C64DDF"/>
    <w:rsid w:val="00C65393"/>
    <w:rsid w:val="00C6605D"/>
    <w:rsid w:val="00C6665A"/>
    <w:rsid w:val="00C666CC"/>
    <w:rsid w:val="00C67079"/>
    <w:rsid w:val="00C67F29"/>
    <w:rsid w:val="00C67F7D"/>
    <w:rsid w:val="00C701B8"/>
    <w:rsid w:val="00C70A8A"/>
    <w:rsid w:val="00C70B71"/>
    <w:rsid w:val="00C721C6"/>
    <w:rsid w:val="00C7288A"/>
    <w:rsid w:val="00C73307"/>
    <w:rsid w:val="00C74E2B"/>
    <w:rsid w:val="00C75C2C"/>
    <w:rsid w:val="00C77539"/>
    <w:rsid w:val="00C77952"/>
    <w:rsid w:val="00C80C07"/>
    <w:rsid w:val="00C82833"/>
    <w:rsid w:val="00C838AA"/>
    <w:rsid w:val="00C83B5E"/>
    <w:rsid w:val="00C83DB9"/>
    <w:rsid w:val="00C85626"/>
    <w:rsid w:val="00C862FB"/>
    <w:rsid w:val="00C866AB"/>
    <w:rsid w:val="00C8737D"/>
    <w:rsid w:val="00C90894"/>
    <w:rsid w:val="00C92B60"/>
    <w:rsid w:val="00C93E68"/>
    <w:rsid w:val="00C9626D"/>
    <w:rsid w:val="00C96C31"/>
    <w:rsid w:val="00C979F8"/>
    <w:rsid w:val="00CA0624"/>
    <w:rsid w:val="00CA1978"/>
    <w:rsid w:val="00CA1B4E"/>
    <w:rsid w:val="00CA30F4"/>
    <w:rsid w:val="00CA4135"/>
    <w:rsid w:val="00CA44D1"/>
    <w:rsid w:val="00CA4723"/>
    <w:rsid w:val="00CA4794"/>
    <w:rsid w:val="00CA60BA"/>
    <w:rsid w:val="00CB0B8C"/>
    <w:rsid w:val="00CB0C80"/>
    <w:rsid w:val="00CB1176"/>
    <w:rsid w:val="00CB1EDB"/>
    <w:rsid w:val="00CB3D3B"/>
    <w:rsid w:val="00CB416A"/>
    <w:rsid w:val="00CB43C4"/>
    <w:rsid w:val="00CB48D5"/>
    <w:rsid w:val="00CC036C"/>
    <w:rsid w:val="00CC1C66"/>
    <w:rsid w:val="00CC41E0"/>
    <w:rsid w:val="00CC432D"/>
    <w:rsid w:val="00CC47F0"/>
    <w:rsid w:val="00CC5EFF"/>
    <w:rsid w:val="00CC63AB"/>
    <w:rsid w:val="00CD0773"/>
    <w:rsid w:val="00CD27E0"/>
    <w:rsid w:val="00CD2E66"/>
    <w:rsid w:val="00CD3268"/>
    <w:rsid w:val="00CD34A8"/>
    <w:rsid w:val="00CD5070"/>
    <w:rsid w:val="00CD5881"/>
    <w:rsid w:val="00CD5B83"/>
    <w:rsid w:val="00CD7CEF"/>
    <w:rsid w:val="00CE16E0"/>
    <w:rsid w:val="00CE1757"/>
    <w:rsid w:val="00CE17C1"/>
    <w:rsid w:val="00CE2D4F"/>
    <w:rsid w:val="00CE3D1E"/>
    <w:rsid w:val="00CE6873"/>
    <w:rsid w:val="00CE6E11"/>
    <w:rsid w:val="00CE7A35"/>
    <w:rsid w:val="00CE7DB6"/>
    <w:rsid w:val="00CF1026"/>
    <w:rsid w:val="00CF3243"/>
    <w:rsid w:val="00CF33EA"/>
    <w:rsid w:val="00CF36E1"/>
    <w:rsid w:val="00CF3C40"/>
    <w:rsid w:val="00CF4280"/>
    <w:rsid w:val="00CF44EC"/>
    <w:rsid w:val="00CF47B0"/>
    <w:rsid w:val="00CF4ACB"/>
    <w:rsid w:val="00CF6177"/>
    <w:rsid w:val="00CF6729"/>
    <w:rsid w:val="00CF6789"/>
    <w:rsid w:val="00CF6830"/>
    <w:rsid w:val="00CF72AE"/>
    <w:rsid w:val="00CF748E"/>
    <w:rsid w:val="00D004B4"/>
    <w:rsid w:val="00D0202D"/>
    <w:rsid w:val="00D02368"/>
    <w:rsid w:val="00D02AAD"/>
    <w:rsid w:val="00D02BCA"/>
    <w:rsid w:val="00D032A7"/>
    <w:rsid w:val="00D03946"/>
    <w:rsid w:val="00D04695"/>
    <w:rsid w:val="00D05A29"/>
    <w:rsid w:val="00D05CB8"/>
    <w:rsid w:val="00D062E4"/>
    <w:rsid w:val="00D06A61"/>
    <w:rsid w:val="00D06DFE"/>
    <w:rsid w:val="00D10FF0"/>
    <w:rsid w:val="00D117FB"/>
    <w:rsid w:val="00D1252D"/>
    <w:rsid w:val="00D1391D"/>
    <w:rsid w:val="00D13B1E"/>
    <w:rsid w:val="00D13FE6"/>
    <w:rsid w:val="00D14647"/>
    <w:rsid w:val="00D149FE"/>
    <w:rsid w:val="00D1653B"/>
    <w:rsid w:val="00D16AE9"/>
    <w:rsid w:val="00D17121"/>
    <w:rsid w:val="00D20EC9"/>
    <w:rsid w:val="00D25E83"/>
    <w:rsid w:val="00D26889"/>
    <w:rsid w:val="00D269C5"/>
    <w:rsid w:val="00D315F0"/>
    <w:rsid w:val="00D31A31"/>
    <w:rsid w:val="00D34631"/>
    <w:rsid w:val="00D34E33"/>
    <w:rsid w:val="00D34FBE"/>
    <w:rsid w:val="00D36388"/>
    <w:rsid w:val="00D36B74"/>
    <w:rsid w:val="00D37684"/>
    <w:rsid w:val="00D37BCC"/>
    <w:rsid w:val="00D410B4"/>
    <w:rsid w:val="00D4144B"/>
    <w:rsid w:val="00D41BC1"/>
    <w:rsid w:val="00D41D84"/>
    <w:rsid w:val="00D41DD4"/>
    <w:rsid w:val="00D42A60"/>
    <w:rsid w:val="00D42ACB"/>
    <w:rsid w:val="00D42C7C"/>
    <w:rsid w:val="00D4360A"/>
    <w:rsid w:val="00D43850"/>
    <w:rsid w:val="00D43F22"/>
    <w:rsid w:val="00D4432C"/>
    <w:rsid w:val="00D4439F"/>
    <w:rsid w:val="00D44676"/>
    <w:rsid w:val="00D47C9C"/>
    <w:rsid w:val="00D50404"/>
    <w:rsid w:val="00D50D90"/>
    <w:rsid w:val="00D5157B"/>
    <w:rsid w:val="00D515E5"/>
    <w:rsid w:val="00D5266A"/>
    <w:rsid w:val="00D53CB5"/>
    <w:rsid w:val="00D5430D"/>
    <w:rsid w:val="00D54770"/>
    <w:rsid w:val="00D5499B"/>
    <w:rsid w:val="00D564B0"/>
    <w:rsid w:val="00D60A5B"/>
    <w:rsid w:val="00D62105"/>
    <w:rsid w:val="00D626C4"/>
    <w:rsid w:val="00D63B9E"/>
    <w:rsid w:val="00D64D60"/>
    <w:rsid w:val="00D652E4"/>
    <w:rsid w:val="00D65853"/>
    <w:rsid w:val="00D65CF4"/>
    <w:rsid w:val="00D6673E"/>
    <w:rsid w:val="00D66BD7"/>
    <w:rsid w:val="00D672BC"/>
    <w:rsid w:val="00D67557"/>
    <w:rsid w:val="00D67FFA"/>
    <w:rsid w:val="00D752CC"/>
    <w:rsid w:val="00D752FC"/>
    <w:rsid w:val="00D75A91"/>
    <w:rsid w:val="00D76B43"/>
    <w:rsid w:val="00D7728E"/>
    <w:rsid w:val="00D77E3B"/>
    <w:rsid w:val="00D8147A"/>
    <w:rsid w:val="00D816BF"/>
    <w:rsid w:val="00D819EC"/>
    <w:rsid w:val="00D82A80"/>
    <w:rsid w:val="00D82EB8"/>
    <w:rsid w:val="00D836A4"/>
    <w:rsid w:val="00D84FE3"/>
    <w:rsid w:val="00D8573A"/>
    <w:rsid w:val="00D85B52"/>
    <w:rsid w:val="00D85F5F"/>
    <w:rsid w:val="00D86707"/>
    <w:rsid w:val="00D90D4C"/>
    <w:rsid w:val="00D91AC5"/>
    <w:rsid w:val="00D9221C"/>
    <w:rsid w:val="00D928A8"/>
    <w:rsid w:val="00D9332C"/>
    <w:rsid w:val="00D93390"/>
    <w:rsid w:val="00D93E58"/>
    <w:rsid w:val="00D94B5A"/>
    <w:rsid w:val="00D94C4E"/>
    <w:rsid w:val="00D9592C"/>
    <w:rsid w:val="00D96349"/>
    <w:rsid w:val="00D9634F"/>
    <w:rsid w:val="00D96944"/>
    <w:rsid w:val="00D97604"/>
    <w:rsid w:val="00D9780F"/>
    <w:rsid w:val="00DA1674"/>
    <w:rsid w:val="00DA212A"/>
    <w:rsid w:val="00DA23AE"/>
    <w:rsid w:val="00DA3D99"/>
    <w:rsid w:val="00DA5118"/>
    <w:rsid w:val="00DA55D1"/>
    <w:rsid w:val="00DA56EE"/>
    <w:rsid w:val="00DA61B3"/>
    <w:rsid w:val="00DA64C9"/>
    <w:rsid w:val="00DA67C3"/>
    <w:rsid w:val="00DA69D5"/>
    <w:rsid w:val="00DA7381"/>
    <w:rsid w:val="00DB0601"/>
    <w:rsid w:val="00DB0746"/>
    <w:rsid w:val="00DB16AF"/>
    <w:rsid w:val="00DB2615"/>
    <w:rsid w:val="00DB34ED"/>
    <w:rsid w:val="00DB635B"/>
    <w:rsid w:val="00DB712B"/>
    <w:rsid w:val="00DB7B4F"/>
    <w:rsid w:val="00DC0A9F"/>
    <w:rsid w:val="00DC1B55"/>
    <w:rsid w:val="00DC287A"/>
    <w:rsid w:val="00DC48C3"/>
    <w:rsid w:val="00DC6D8A"/>
    <w:rsid w:val="00DD01BC"/>
    <w:rsid w:val="00DD08D2"/>
    <w:rsid w:val="00DD0FE0"/>
    <w:rsid w:val="00DD2254"/>
    <w:rsid w:val="00DD356B"/>
    <w:rsid w:val="00DD35E6"/>
    <w:rsid w:val="00DD46D2"/>
    <w:rsid w:val="00DD4F4E"/>
    <w:rsid w:val="00DD58A5"/>
    <w:rsid w:val="00DD59D9"/>
    <w:rsid w:val="00DD6ECF"/>
    <w:rsid w:val="00DD7660"/>
    <w:rsid w:val="00DE2A95"/>
    <w:rsid w:val="00DE342D"/>
    <w:rsid w:val="00DE36A7"/>
    <w:rsid w:val="00DE510B"/>
    <w:rsid w:val="00DE53E2"/>
    <w:rsid w:val="00DE6B7F"/>
    <w:rsid w:val="00DE7AF4"/>
    <w:rsid w:val="00DF1B12"/>
    <w:rsid w:val="00DF1CB1"/>
    <w:rsid w:val="00DF1E65"/>
    <w:rsid w:val="00DF378F"/>
    <w:rsid w:val="00DF387E"/>
    <w:rsid w:val="00DF4166"/>
    <w:rsid w:val="00DF5A07"/>
    <w:rsid w:val="00DF5A2D"/>
    <w:rsid w:val="00DF5E24"/>
    <w:rsid w:val="00E0071B"/>
    <w:rsid w:val="00E00A29"/>
    <w:rsid w:val="00E0206E"/>
    <w:rsid w:val="00E02929"/>
    <w:rsid w:val="00E0368E"/>
    <w:rsid w:val="00E04B2F"/>
    <w:rsid w:val="00E0536E"/>
    <w:rsid w:val="00E066AE"/>
    <w:rsid w:val="00E06A4B"/>
    <w:rsid w:val="00E072F8"/>
    <w:rsid w:val="00E11393"/>
    <w:rsid w:val="00E11B4E"/>
    <w:rsid w:val="00E12138"/>
    <w:rsid w:val="00E121B7"/>
    <w:rsid w:val="00E13EB4"/>
    <w:rsid w:val="00E147FB"/>
    <w:rsid w:val="00E165F6"/>
    <w:rsid w:val="00E1670D"/>
    <w:rsid w:val="00E167D7"/>
    <w:rsid w:val="00E17F7E"/>
    <w:rsid w:val="00E2079C"/>
    <w:rsid w:val="00E21F5A"/>
    <w:rsid w:val="00E223DE"/>
    <w:rsid w:val="00E22D3E"/>
    <w:rsid w:val="00E238FE"/>
    <w:rsid w:val="00E24AD0"/>
    <w:rsid w:val="00E26905"/>
    <w:rsid w:val="00E31F17"/>
    <w:rsid w:val="00E31FBD"/>
    <w:rsid w:val="00E33488"/>
    <w:rsid w:val="00E33C9A"/>
    <w:rsid w:val="00E356BE"/>
    <w:rsid w:val="00E37D20"/>
    <w:rsid w:val="00E40A2C"/>
    <w:rsid w:val="00E426FA"/>
    <w:rsid w:val="00E42705"/>
    <w:rsid w:val="00E4382C"/>
    <w:rsid w:val="00E43E60"/>
    <w:rsid w:val="00E44CE0"/>
    <w:rsid w:val="00E458C0"/>
    <w:rsid w:val="00E509F3"/>
    <w:rsid w:val="00E51728"/>
    <w:rsid w:val="00E5251E"/>
    <w:rsid w:val="00E54898"/>
    <w:rsid w:val="00E5554E"/>
    <w:rsid w:val="00E558EC"/>
    <w:rsid w:val="00E55E0F"/>
    <w:rsid w:val="00E55E2B"/>
    <w:rsid w:val="00E56325"/>
    <w:rsid w:val="00E56B01"/>
    <w:rsid w:val="00E56CD7"/>
    <w:rsid w:val="00E5720C"/>
    <w:rsid w:val="00E57351"/>
    <w:rsid w:val="00E60EB5"/>
    <w:rsid w:val="00E61A7D"/>
    <w:rsid w:val="00E61C28"/>
    <w:rsid w:val="00E62774"/>
    <w:rsid w:val="00E6373E"/>
    <w:rsid w:val="00E6475C"/>
    <w:rsid w:val="00E6483F"/>
    <w:rsid w:val="00E65D6C"/>
    <w:rsid w:val="00E65E05"/>
    <w:rsid w:val="00E66FE4"/>
    <w:rsid w:val="00E6713B"/>
    <w:rsid w:val="00E673BF"/>
    <w:rsid w:val="00E67839"/>
    <w:rsid w:val="00E67E40"/>
    <w:rsid w:val="00E70529"/>
    <w:rsid w:val="00E70BE1"/>
    <w:rsid w:val="00E70C4F"/>
    <w:rsid w:val="00E70D42"/>
    <w:rsid w:val="00E72117"/>
    <w:rsid w:val="00E72283"/>
    <w:rsid w:val="00E743FE"/>
    <w:rsid w:val="00E756F0"/>
    <w:rsid w:val="00E76EDE"/>
    <w:rsid w:val="00E77602"/>
    <w:rsid w:val="00E77FB8"/>
    <w:rsid w:val="00E80A1F"/>
    <w:rsid w:val="00E80A5E"/>
    <w:rsid w:val="00E821A5"/>
    <w:rsid w:val="00E82411"/>
    <w:rsid w:val="00E82605"/>
    <w:rsid w:val="00E835FC"/>
    <w:rsid w:val="00E83B25"/>
    <w:rsid w:val="00E84647"/>
    <w:rsid w:val="00E84AAC"/>
    <w:rsid w:val="00E85472"/>
    <w:rsid w:val="00E85734"/>
    <w:rsid w:val="00E901F2"/>
    <w:rsid w:val="00E90BC3"/>
    <w:rsid w:val="00E91F95"/>
    <w:rsid w:val="00E92DF8"/>
    <w:rsid w:val="00E96811"/>
    <w:rsid w:val="00E96F68"/>
    <w:rsid w:val="00E97204"/>
    <w:rsid w:val="00E97220"/>
    <w:rsid w:val="00E97612"/>
    <w:rsid w:val="00EA069A"/>
    <w:rsid w:val="00EA0E6C"/>
    <w:rsid w:val="00EA18C6"/>
    <w:rsid w:val="00EA1BBD"/>
    <w:rsid w:val="00EA2584"/>
    <w:rsid w:val="00EA4113"/>
    <w:rsid w:val="00EA4823"/>
    <w:rsid w:val="00EA5BA7"/>
    <w:rsid w:val="00EA6F13"/>
    <w:rsid w:val="00EA71D7"/>
    <w:rsid w:val="00EA7454"/>
    <w:rsid w:val="00EB0D2E"/>
    <w:rsid w:val="00EB1126"/>
    <w:rsid w:val="00EB2CD2"/>
    <w:rsid w:val="00EB32FE"/>
    <w:rsid w:val="00EB37E8"/>
    <w:rsid w:val="00EB39E1"/>
    <w:rsid w:val="00EB4028"/>
    <w:rsid w:val="00EB45D9"/>
    <w:rsid w:val="00EB77A5"/>
    <w:rsid w:val="00EB787F"/>
    <w:rsid w:val="00EB79CA"/>
    <w:rsid w:val="00EB7F36"/>
    <w:rsid w:val="00EC0340"/>
    <w:rsid w:val="00EC0A71"/>
    <w:rsid w:val="00EC11E4"/>
    <w:rsid w:val="00EC1543"/>
    <w:rsid w:val="00EC1F88"/>
    <w:rsid w:val="00EC2068"/>
    <w:rsid w:val="00EC2709"/>
    <w:rsid w:val="00EC2B5F"/>
    <w:rsid w:val="00EC3C10"/>
    <w:rsid w:val="00EC53A7"/>
    <w:rsid w:val="00EC6237"/>
    <w:rsid w:val="00EC7AC3"/>
    <w:rsid w:val="00ED0A31"/>
    <w:rsid w:val="00ED0EFA"/>
    <w:rsid w:val="00ED165B"/>
    <w:rsid w:val="00ED1F35"/>
    <w:rsid w:val="00ED2172"/>
    <w:rsid w:val="00ED2A85"/>
    <w:rsid w:val="00ED3716"/>
    <w:rsid w:val="00ED3B3D"/>
    <w:rsid w:val="00ED3F43"/>
    <w:rsid w:val="00ED43BC"/>
    <w:rsid w:val="00EE082F"/>
    <w:rsid w:val="00EE1ABB"/>
    <w:rsid w:val="00EE54AF"/>
    <w:rsid w:val="00EE63F9"/>
    <w:rsid w:val="00EE6D56"/>
    <w:rsid w:val="00EF1383"/>
    <w:rsid w:val="00EF3A98"/>
    <w:rsid w:val="00EF44BE"/>
    <w:rsid w:val="00EF4FD6"/>
    <w:rsid w:val="00EF5744"/>
    <w:rsid w:val="00EF58E2"/>
    <w:rsid w:val="00EF5C7F"/>
    <w:rsid w:val="00EF5D59"/>
    <w:rsid w:val="00EF5EE7"/>
    <w:rsid w:val="00EF610F"/>
    <w:rsid w:val="00EF6360"/>
    <w:rsid w:val="00EF722B"/>
    <w:rsid w:val="00EF7240"/>
    <w:rsid w:val="00EF7FB9"/>
    <w:rsid w:val="00F04A71"/>
    <w:rsid w:val="00F04A94"/>
    <w:rsid w:val="00F050D0"/>
    <w:rsid w:val="00F05D62"/>
    <w:rsid w:val="00F06199"/>
    <w:rsid w:val="00F06680"/>
    <w:rsid w:val="00F07231"/>
    <w:rsid w:val="00F079CA"/>
    <w:rsid w:val="00F07AC8"/>
    <w:rsid w:val="00F07F20"/>
    <w:rsid w:val="00F07F34"/>
    <w:rsid w:val="00F11B5C"/>
    <w:rsid w:val="00F11EF4"/>
    <w:rsid w:val="00F17D53"/>
    <w:rsid w:val="00F208B1"/>
    <w:rsid w:val="00F22878"/>
    <w:rsid w:val="00F22A41"/>
    <w:rsid w:val="00F22E16"/>
    <w:rsid w:val="00F22F86"/>
    <w:rsid w:val="00F2536E"/>
    <w:rsid w:val="00F25543"/>
    <w:rsid w:val="00F26C4D"/>
    <w:rsid w:val="00F27A54"/>
    <w:rsid w:val="00F3039D"/>
    <w:rsid w:val="00F31253"/>
    <w:rsid w:val="00F3234C"/>
    <w:rsid w:val="00F32CC3"/>
    <w:rsid w:val="00F33946"/>
    <w:rsid w:val="00F34AEE"/>
    <w:rsid w:val="00F34AF4"/>
    <w:rsid w:val="00F34C94"/>
    <w:rsid w:val="00F41243"/>
    <w:rsid w:val="00F42490"/>
    <w:rsid w:val="00F44814"/>
    <w:rsid w:val="00F50E96"/>
    <w:rsid w:val="00F50F82"/>
    <w:rsid w:val="00F522E9"/>
    <w:rsid w:val="00F52871"/>
    <w:rsid w:val="00F54091"/>
    <w:rsid w:val="00F55AA3"/>
    <w:rsid w:val="00F56158"/>
    <w:rsid w:val="00F56521"/>
    <w:rsid w:val="00F567A4"/>
    <w:rsid w:val="00F57049"/>
    <w:rsid w:val="00F605E4"/>
    <w:rsid w:val="00F60D14"/>
    <w:rsid w:val="00F60FF8"/>
    <w:rsid w:val="00F61EA3"/>
    <w:rsid w:val="00F62A06"/>
    <w:rsid w:val="00F63D2B"/>
    <w:rsid w:val="00F6400C"/>
    <w:rsid w:val="00F64965"/>
    <w:rsid w:val="00F64E2D"/>
    <w:rsid w:val="00F65907"/>
    <w:rsid w:val="00F66188"/>
    <w:rsid w:val="00F66389"/>
    <w:rsid w:val="00F66C03"/>
    <w:rsid w:val="00F67802"/>
    <w:rsid w:val="00F704C4"/>
    <w:rsid w:val="00F71786"/>
    <w:rsid w:val="00F71F55"/>
    <w:rsid w:val="00F7201E"/>
    <w:rsid w:val="00F72163"/>
    <w:rsid w:val="00F7533D"/>
    <w:rsid w:val="00F76E6D"/>
    <w:rsid w:val="00F77431"/>
    <w:rsid w:val="00F819B8"/>
    <w:rsid w:val="00F8405D"/>
    <w:rsid w:val="00F84C3F"/>
    <w:rsid w:val="00F86A61"/>
    <w:rsid w:val="00F873A2"/>
    <w:rsid w:val="00F879FB"/>
    <w:rsid w:val="00F90747"/>
    <w:rsid w:val="00F92180"/>
    <w:rsid w:val="00F9267F"/>
    <w:rsid w:val="00F930DA"/>
    <w:rsid w:val="00F93A24"/>
    <w:rsid w:val="00F9423B"/>
    <w:rsid w:val="00F95CD8"/>
    <w:rsid w:val="00F9637A"/>
    <w:rsid w:val="00F96B01"/>
    <w:rsid w:val="00FA08C6"/>
    <w:rsid w:val="00FA1A70"/>
    <w:rsid w:val="00FA2AFB"/>
    <w:rsid w:val="00FA44E8"/>
    <w:rsid w:val="00FA581E"/>
    <w:rsid w:val="00FA5A9E"/>
    <w:rsid w:val="00FA62F1"/>
    <w:rsid w:val="00FA6E84"/>
    <w:rsid w:val="00FA79CF"/>
    <w:rsid w:val="00FB002B"/>
    <w:rsid w:val="00FB1212"/>
    <w:rsid w:val="00FB1E52"/>
    <w:rsid w:val="00FB3810"/>
    <w:rsid w:val="00FB6349"/>
    <w:rsid w:val="00FB6575"/>
    <w:rsid w:val="00FB6612"/>
    <w:rsid w:val="00FC00C2"/>
    <w:rsid w:val="00FC0C73"/>
    <w:rsid w:val="00FC13ED"/>
    <w:rsid w:val="00FC2073"/>
    <w:rsid w:val="00FC21E6"/>
    <w:rsid w:val="00FC3EB0"/>
    <w:rsid w:val="00FC4457"/>
    <w:rsid w:val="00FC5C9F"/>
    <w:rsid w:val="00FC6A8A"/>
    <w:rsid w:val="00FC78CB"/>
    <w:rsid w:val="00FD04CE"/>
    <w:rsid w:val="00FD17C8"/>
    <w:rsid w:val="00FD5168"/>
    <w:rsid w:val="00FD59DF"/>
    <w:rsid w:val="00FD5C6F"/>
    <w:rsid w:val="00FD6048"/>
    <w:rsid w:val="00FD6E0E"/>
    <w:rsid w:val="00FD6FBF"/>
    <w:rsid w:val="00FD75A3"/>
    <w:rsid w:val="00FE032E"/>
    <w:rsid w:val="00FE08B6"/>
    <w:rsid w:val="00FE20D2"/>
    <w:rsid w:val="00FE30D7"/>
    <w:rsid w:val="00FE4C41"/>
    <w:rsid w:val="00FE666C"/>
    <w:rsid w:val="00FF0363"/>
    <w:rsid w:val="00FF1300"/>
    <w:rsid w:val="00FF2488"/>
    <w:rsid w:val="00FF2A80"/>
    <w:rsid w:val="00FF2CCF"/>
    <w:rsid w:val="00FF40E0"/>
    <w:rsid w:val="00FF4258"/>
    <w:rsid w:val="00FF4353"/>
    <w:rsid w:val="00FF5856"/>
    <w:rsid w:val="00FF5DD7"/>
    <w:rsid w:val="00FF6D78"/>
    <w:rsid w:val="00FF721D"/>
    <w:rsid w:val="00FF7AAE"/>
    <w:rsid w:val="00FF7D31"/>
    <w:rsid w:val="02AEAA15"/>
    <w:rsid w:val="051E8947"/>
    <w:rsid w:val="05346D5B"/>
    <w:rsid w:val="06D8AC09"/>
    <w:rsid w:val="08195276"/>
    <w:rsid w:val="0F07DF5D"/>
    <w:rsid w:val="12E6B1EC"/>
    <w:rsid w:val="13C06F9E"/>
    <w:rsid w:val="1730D265"/>
    <w:rsid w:val="230EADC1"/>
    <w:rsid w:val="2505109E"/>
    <w:rsid w:val="259165F9"/>
    <w:rsid w:val="26D03A21"/>
    <w:rsid w:val="275BFA44"/>
    <w:rsid w:val="2765E008"/>
    <w:rsid w:val="2A3913A8"/>
    <w:rsid w:val="2A4BD365"/>
    <w:rsid w:val="319C88A9"/>
    <w:rsid w:val="31D3EC66"/>
    <w:rsid w:val="33E7D75B"/>
    <w:rsid w:val="34BE04CD"/>
    <w:rsid w:val="397233DE"/>
    <w:rsid w:val="3F760CB6"/>
    <w:rsid w:val="409635B3"/>
    <w:rsid w:val="42C08779"/>
    <w:rsid w:val="431A77E5"/>
    <w:rsid w:val="48103778"/>
    <w:rsid w:val="485726A5"/>
    <w:rsid w:val="4FE953AD"/>
    <w:rsid w:val="508CA656"/>
    <w:rsid w:val="51CF4501"/>
    <w:rsid w:val="53EE12D4"/>
    <w:rsid w:val="5406875C"/>
    <w:rsid w:val="55ED2C85"/>
    <w:rsid w:val="5666A8DA"/>
    <w:rsid w:val="5670CB0C"/>
    <w:rsid w:val="5958BB35"/>
    <w:rsid w:val="5A5AE28F"/>
    <w:rsid w:val="5E699B63"/>
    <w:rsid w:val="5EED39EA"/>
    <w:rsid w:val="5FA52169"/>
    <w:rsid w:val="609483A6"/>
    <w:rsid w:val="633EB681"/>
    <w:rsid w:val="65606CE5"/>
    <w:rsid w:val="6560C547"/>
    <w:rsid w:val="6B0E13F7"/>
    <w:rsid w:val="6E002652"/>
    <w:rsid w:val="6F22478D"/>
    <w:rsid w:val="74CD2180"/>
    <w:rsid w:val="76D0CEB8"/>
    <w:rsid w:val="789B6303"/>
    <w:rsid w:val="7A30FF93"/>
    <w:rsid w:val="7D49905E"/>
    <w:rsid w:val="7EA9EAED"/>
    <w:rsid w:val="7F4FE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360FB"/>
  <w15:chartTrackingRefBased/>
  <w15:docId w15:val="{788E2CA7-04BA-45FC-ACE6-5CFAC835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19B8"/>
  </w:style>
  <w:style w:type="paragraph" w:styleId="Titolo1">
    <w:name w:val="heading 1"/>
    <w:basedOn w:val="Normale"/>
    <w:next w:val="Normale"/>
    <w:link w:val="Titolo1Carattere"/>
    <w:uiPriority w:val="9"/>
    <w:qFormat/>
    <w:rsid w:val="00D34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81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80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unto elenco 1,Paragraphe EI,Paragraphe de liste1,EC,Bullet List,FooterText,lp1,List Paragraph1,lp11,List Paragraph11,Use Case List Paragraph,numbered,Bulletr List Paragraph,列出段落,列出段落1,Bullet 1,Trattino,List Paragraph2,Bullet edison,3,l"/>
    <w:basedOn w:val="Normale"/>
    <w:link w:val="ParagrafoelencoCarattere"/>
    <w:uiPriority w:val="34"/>
    <w:qFormat/>
    <w:rsid w:val="00F819B8"/>
    <w:pPr>
      <w:ind w:left="720"/>
      <w:contextualSpacing/>
    </w:pPr>
  </w:style>
  <w:style w:type="paragraph" w:styleId="Intestazione">
    <w:name w:val="header"/>
    <w:basedOn w:val="Normale"/>
    <w:link w:val="IntestazioneCarattere"/>
    <w:uiPriority w:val="99"/>
    <w:unhideWhenUsed/>
    <w:rsid w:val="00F819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19B8"/>
  </w:style>
  <w:style w:type="paragraph" w:styleId="Pidipagina">
    <w:name w:val="footer"/>
    <w:basedOn w:val="Normale"/>
    <w:link w:val="PidipaginaCarattere"/>
    <w:uiPriority w:val="99"/>
    <w:unhideWhenUsed/>
    <w:rsid w:val="00F819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19B8"/>
  </w:style>
  <w:style w:type="table" w:styleId="Grigliatabella">
    <w:name w:val="Table Grid"/>
    <w:basedOn w:val="Tabellanormale"/>
    <w:uiPriority w:val="39"/>
    <w:rsid w:val="00F8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F819B8"/>
    <w:rPr>
      <w:rFonts w:asciiTheme="majorHAnsi" w:eastAsiaTheme="majorEastAsia" w:hAnsiTheme="majorHAnsi" w:cstheme="majorBidi"/>
      <w:color w:val="2F5496" w:themeColor="accent1" w:themeShade="BF"/>
      <w:sz w:val="26"/>
      <w:szCs w:val="26"/>
    </w:rPr>
  </w:style>
  <w:style w:type="paragraph" w:customStyle="1" w:styleId="art">
    <w:name w:val="art"/>
    <w:basedOn w:val="Normale"/>
    <w:rsid w:val="00E167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4803F4"/>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D34631"/>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D34631"/>
    <w:pPr>
      <w:outlineLvl w:val="9"/>
    </w:pPr>
    <w:rPr>
      <w:lang w:eastAsia="it-IT"/>
    </w:rPr>
  </w:style>
  <w:style w:type="paragraph" w:styleId="Sommario2">
    <w:name w:val="toc 2"/>
    <w:basedOn w:val="Normale"/>
    <w:next w:val="Normale"/>
    <w:autoRedefine/>
    <w:uiPriority w:val="39"/>
    <w:unhideWhenUsed/>
    <w:rsid w:val="002275D1"/>
    <w:pPr>
      <w:tabs>
        <w:tab w:val="left" w:pos="660"/>
        <w:tab w:val="left" w:pos="1100"/>
        <w:tab w:val="right" w:leader="dot" w:pos="9628"/>
      </w:tabs>
      <w:spacing w:after="100"/>
      <w:ind w:left="426"/>
      <w:jc w:val="both"/>
    </w:pPr>
    <w:rPr>
      <w:rFonts w:ascii="Bookman Old Style" w:hAnsi="Bookman Old Style"/>
      <w:b/>
      <w:bCs/>
      <w:noProof/>
    </w:rPr>
  </w:style>
  <w:style w:type="paragraph" w:styleId="Sommario3">
    <w:name w:val="toc 3"/>
    <w:basedOn w:val="Normale"/>
    <w:next w:val="Normale"/>
    <w:autoRedefine/>
    <w:uiPriority w:val="39"/>
    <w:unhideWhenUsed/>
    <w:rsid w:val="00E67E40"/>
    <w:pPr>
      <w:tabs>
        <w:tab w:val="left" w:pos="1100"/>
        <w:tab w:val="right" w:leader="dot" w:pos="9628"/>
      </w:tabs>
      <w:spacing w:after="100"/>
      <w:ind w:left="822" w:hanging="411"/>
    </w:pPr>
  </w:style>
  <w:style w:type="character" w:styleId="Collegamentoipertestuale">
    <w:name w:val="Hyperlink"/>
    <w:basedOn w:val="Carpredefinitoparagrafo"/>
    <w:uiPriority w:val="99"/>
    <w:unhideWhenUsed/>
    <w:rsid w:val="00D34631"/>
    <w:rPr>
      <w:color w:val="0563C1" w:themeColor="hyperlink"/>
      <w:u w:val="single"/>
    </w:rPr>
  </w:style>
  <w:style w:type="paragraph" w:styleId="PreformattatoHTML">
    <w:name w:val="HTML Preformatted"/>
    <w:basedOn w:val="Normale"/>
    <w:link w:val="PreformattatoHTMLCarattere"/>
    <w:uiPriority w:val="99"/>
    <w:unhideWhenUsed/>
    <w:qFormat/>
    <w:rsid w:val="005E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E62A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E62AF"/>
    <w:rPr>
      <w:b/>
      <w:bCs/>
    </w:rPr>
  </w:style>
  <w:style w:type="character" w:customStyle="1" w:styleId="UnresolvedMention">
    <w:name w:val="Unresolved Mention"/>
    <w:basedOn w:val="Carpredefinitoparagrafo"/>
    <w:uiPriority w:val="99"/>
    <w:semiHidden/>
    <w:unhideWhenUsed/>
    <w:rsid w:val="00AD4714"/>
    <w:rPr>
      <w:color w:val="605E5C"/>
      <w:shd w:val="clear" w:color="auto" w:fill="E1DFDD"/>
    </w:rPr>
  </w:style>
  <w:style w:type="paragraph" w:styleId="Sommario1">
    <w:name w:val="toc 1"/>
    <w:basedOn w:val="Normale"/>
    <w:next w:val="Normale"/>
    <w:autoRedefine/>
    <w:uiPriority w:val="39"/>
    <w:unhideWhenUsed/>
    <w:rsid w:val="001674C6"/>
    <w:pPr>
      <w:tabs>
        <w:tab w:val="right" w:leader="dot" w:pos="9628"/>
      </w:tabs>
      <w:spacing w:after="40"/>
    </w:pPr>
    <w:rPr>
      <w:rFonts w:ascii="Bookman Old Style" w:eastAsiaTheme="majorEastAsia" w:hAnsi="Bookman Old Style" w:cs="Times New Roman"/>
      <w:b/>
      <w:bCs/>
      <w:noProof/>
      <w:sz w:val="20"/>
      <w:szCs w:val="20"/>
      <w:lang w:eastAsia="it-IT"/>
    </w:rPr>
  </w:style>
  <w:style w:type="character" w:customStyle="1" w:styleId="fontstyle01">
    <w:name w:val="fontstyle01"/>
    <w:basedOn w:val="Carpredefinitoparagrafo"/>
    <w:rsid w:val="004D2306"/>
  </w:style>
  <w:style w:type="numbering" w:customStyle="1" w:styleId="Nessunelenco1">
    <w:name w:val="Nessun elenco1"/>
    <w:next w:val="Nessunelenco"/>
    <w:uiPriority w:val="99"/>
    <w:semiHidden/>
    <w:unhideWhenUsed/>
    <w:rsid w:val="008E2F12"/>
  </w:style>
  <w:style w:type="paragraph" w:customStyle="1" w:styleId="xmsonormal">
    <w:name w:val="xmsonormal"/>
    <w:basedOn w:val="Normale"/>
    <w:rsid w:val="00D82EB8"/>
    <w:pPr>
      <w:spacing w:after="0" w:line="240" w:lineRule="auto"/>
    </w:pPr>
    <w:rPr>
      <w:rFonts w:ascii="Calibri" w:hAnsi="Calibri" w:cs="Calibri"/>
      <w:lang w:eastAsia="it-IT"/>
    </w:rPr>
  </w:style>
  <w:style w:type="character" w:customStyle="1" w:styleId="contentpasted0">
    <w:name w:val="contentpasted0"/>
    <w:basedOn w:val="Carpredefinitoparagrafo"/>
    <w:rsid w:val="00D82EB8"/>
  </w:style>
  <w:style w:type="character" w:customStyle="1" w:styleId="contentpasted1">
    <w:name w:val="contentpasted1"/>
    <w:basedOn w:val="Carpredefinitoparagrafo"/>
    <w:rsid w:val="00D82EB8"/>
  </w:style>
  <w:style w:type="character" w:customStyle="1" w:styleId="contentpasted2">
    <w:name w:val="contentpasted2"/>
    <w:basedOn w:val="Carpredefinitoparagrafo"/>
    <w:rsid w:val="00D82EB8"/>
  </w:style>
  <w:style w:type="paragraph" w:customStyle="1" w:styleId="xmsonormal0">
    <w:name w:val="x_msonormal"/>
    <w:basedOn w:val="Normale"/>
    <w:rsid w:val="006C2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C2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29427E"/>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9427E"/>
    <w:rPr>
      <w:rFonts w:ascii="Calibri" w:hAnsi="Calibri"/>
      <w:szCs w:val="21"/>
    </w:rPr>
  </w:style>
  <w:style w:type="character" w:styleId="Collegamentovisitato">
    <w:name w:val="FollowedHyperlink"/>
    <w:basedOn w:val="Carpredefinitoparagrafo"/>
    <w:uiPriority w:val="99"/>
    <w:semiHidden/>
    <w:unhideWhenUsed/>
    <w:rsid w:val="00350A8E"/>
    <w:rPr>
      <w:color w:val="954F72" w:themeColor="followedHyperlink"/>
      <w:u w:val="single"/>
    </w:rPr>
  </w:style>
  <w:style w:type="paragraph" w:customStyle="1" w:styleId="paragraph">
    <w:name w:val="paragraph"/>
    <w:basedOn w:val="Normale"/>
    <w:rsid w:val="00C42C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42C8C"/>
  </w:style>
  <w:style w:type="character" w:customStyle="1" w:styleId="eop">
    <w:name w:val="eop"/>
    <w:basedOn w:val="Carpredefinitoparagrafo"/>
    <w:rsid w:val="00C42C8C"/>
  </w:style>
  <w:style w:type="character" w:customStyle="1" w:styleId="m9048655202098468947findhit">
    <w:name w:val="m_9048655202098468947findhit"/>
    <w:basedOn w:val="Carpredefinitoparagrafo"/>
    <w:rsid w:val="009B6EDD"/>
  </w:style>
  <w:style w:type="character" w:customStyle="1" w:styleId="m9048655202098468947normaltextrun">
    <w:name w:val="m_9048655202098468947normaltextrun"/>
    <w:basedOn w:val="Carpredefinitoparagrafo"/>
    <w:rsid w:val="009B6EDD"/>
  </w:style>
  <w:style w:type="character" w:customStyle="1" w:styleId="m9048655202098468947eop">
    <w:name w:val="m_9048655202098468947eop"/>
    <w:basedOn w:val="Carpredefinitoparagrafo"/>
    <w:rsid w:val="00843889"/>
  </w:style>
  <w:style w:type="character" w:customStyle="1" w:styleId="xcontentpasted0">
    <w:name w:val="x_contentpasted0"/>
    <w:basedOn w:val="Carpredefinitoparagrafo"/>
    <w:rsid w:val="005D5378"/>
  </w:style>
  <w:style w:type="table" w:customStyle="1" w:styleId="TableNormal">
    <w:name w:val="Table Normal"/>
    <w:uiPriority w:val="2"/>
    <w:semiHidden/>
    <w:unhideWhenUsed/>
    <w:qFormat/>
    <w:rsid w:val="00002C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02C0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02C06"/>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002C06"/>
    <w:pPr>
      <w:widowControl w:val="0"/>
      <w:autoSpaceDE w:val="0"/>
      <w:autoSpaceDN w:val="0"/>
      <w:spacing w:after="0" w:line="240" w:lineRule="auto"/>
      <w:ind w:left="109"/>
    </w:pPr>
    <w:rPr>
      <w:rFonts w:ascii="Times New Roman" w:eastAsia="Times New Roman" w:hAnsi="Times New Roman" w:cs="Times New Roman"/>
    </w:rPr>
  </w:style>
  <w:style w:type="character" w:customStyle="1" w:styleId="ParagrafoelencoCarattere">
    <w:name w:val="Paragrafo elenco Carattere"/>
    <w:aliases w:val="Punto elenco 1 Carattere,Paragraphe EI Carattere,Paragraphe de liste1 Carattere,EC Carattere,Bullet List Carattere,FooterText Carattere,lp1 Carattere,List Paragraph1 Carattere,lp11 Carattere,List Paragraph11 Carattere"/>
    <w:link w:val="Paragrafoelenco"/>
    <w:uiPriority w:val="34"/>
    <w:qFormat/>
    <w:locked/>
    <w:rsid w:val="00002C06"/>
  </w:style>
  <w:style w:type="paragraph" w:styleId="Sommario4">
    <w:name w:val="toc 4"/>
    <w:basedOn w:val="Normale"/>
    <w:next w:val="Normale"/>
    <w:autoRedefine/>
    <w:uiPriority w:val="39"/>
    <w:unhideWhenUsed/>
    <w:rsid w:val="004E16CE"/>
    <w:pPr>
      <w:spacing w:after="100"/>
      <w:ind w:left="660"/>
    </w:pPr>
    <w:rPr>
      <w:rFonts w:eastAsiaTheme="minorEastAsia"/>
      <w:lang w:eastAsia="it-IT"/>
    </w:rPr>
  </w:style>
  <w:style w:type="paragraph" w:styleId="Sommario5">
    <w:name w:val="toc 5"/>
    <w:basedOn w:val="Normale"/>
    <w:next w:val="Normale"/>
    <w:autoRedefine/>
    <w:uiPriority w:val="39"/>
    <w:unhideWhenUsed/>
    <w:rsid w:val="004E16CE"/>
    <w:pPr>
      <w:spacing w:after="100"/>
      <w:ind w:left="880"/>
    </w:pPr>
    <w:rPr>
      <w:rFonts w:eastAsiaTheme="minorEastAsia"/>
      <w:lang w:eastAsia="it-IT"/>
    </w:rPr>
  </w:style>
  <w:style w:type="paragraph" w:styleId="Sommario6">
    <w:name w:val="toc 6"/>
    <w:basedOn w:val="Normale"/>
    <w:next w:val="Normale"/>
    <w:autoRedefine/>
    <w:uiPriority w:val="39"/>
    <w:unhideWhenUsed/>
    <w:rsid w:val="004E16CE"/>
    <w:pPr>
      <w:spacing w:after="100"/>
      <w:ind w:left="1100"/>
    </w:pPr>
    <w:rPr>
      <w:rFonts w:eastAsiaTheme="minorEastAsia"/>
      <w:lang w:eastAsia="it-IT"/>
    </w:rPr>
  </w:style>
  <w:style w:type="paragraph" w:styleId="Sommario7">
    <w:name w:val="toc 7"/>
    <w:basedOn w:val="Normale"/>
    <w:next w:val="Normale"/>
    <w:autoRedefine/>
    <w:uiPriority w:val="39"/>
    <w:unhideWhenUsed/>
    <w:rsid w:val="004E16CE"/>
    <w:pPr>
      <w:spacing w:after="100"/>
      <w:ind w:left="1320"/>
    </w:pPr>
    <w:rPr>
      <w:rFonts w:eastAsiaTheme="minorEastAsia"/>
      <w:lang w:eastAsia="it-IT"/>
    </w:rPr>
  </w:style>
  <w:style w:type="paragraph" w:styleId="Sommario8">
    <w:name w:val="toc 8"/>
    <w:basedOn w:val="Normale"/>
    <w:next w:val="Normale"/>
    <w:autoRedefine/>
    <w:uiPriority w:val="39"/>
    <w:unhideWhenUsed/>
    <w:rsid w:val="004E16CE"/>
    <w:pPr>
      <w:spacing w:after="100"/>
      <w:ind w:left="1540"/>
    </w:pPr>
    <w:rPr>
      <w:rFonts w:eastAsiaTheme="minorEastAsia"/>
      <w:lang w:eastAsia="it-IT"/>
    </w:rPr>
  </w:style>
  <w:style w:type="paragraph" w:styleId="Sommario9">
    <w:name w:val="toc 9"/>
    <w:basedOn w:val="Normale"/>
    <w:next w:val="Normale"/>
    <w:autoRedefine/>
    <w:uiPriority w:val="39"/>
    <w:unhideWhenUsed/>
    <w:rsid w:val="004E16CE"/>
    <w:pPr>
      <w:spacing w:after="100"/>
      <w:ind w:left="1760"/>
    </w:pPr>
    <w:rPr>
      <w:rFonts w:eastAsiaTheme="minorEastAsia"/>
      <w:lang w:eastAsia="it-IT"/>
    </w:rPr>
  </w:style>
  <w:style w:type="paragraph" w:customStyle="1" w:styleId="Default">
    <w:name w:val="Default"/>
    <w:qFormat/>
    <w:rsid w:val="00617A12"/>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unhideWhenUsed/>
    <w:rsid w:val="00ED217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D217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0982">
      <w:bodyDiv w:val="1"/>
      <w:marLeft w:val="0"/>
      <w:marRight w:val="0"/>
      <w:marTop w:val="0"/>
      <w:marBottom w:val="0"/>
      <w:divBdr>
        <w:top w:val="none" w:sz="0" w:space="0" w:color="auto"/>
        <w:left w:val="none" w:sz="0" w:space="0" w:color="auto"/>
        <w:bottom w:val="none" w:sz="0" w:space="0" w:color="auto"/>
        <w:right w:val="none" w:sz="0" w:space="0" w:color="auto"/>
      </w:divBdr>
    </w:div>
    <w:div w:id="91246531">
      <w:bodyDiv w:val="1"/>
      <w:marLeft w:val="0"/>
      <w:marRight w:val="0"/>
      <w:marTop w:val="0"/>
      <w:marBottom w:val="0"/>
      <w:divBdr>
        <w:top w:val="none" w:sz="0" w:space="0" w:color="auto"/>
        <w:left w:val="none" w:sz="0" w:space="0" w:color="auto"/>
        <w:bottom w:val="none" w:sz="0" w:space="0" w:color="auto"/>
        <w:right w:val="none" w:sz="0" w:space="0" w:color="auto"/>
      </w:divBdr>
    </w:div>
    <w:div w:id="121391249">
      <w:bodyDiv w:val="1"/>
      <w:marLeft w:val="0"/>
      <w:marRight w:val="0"/>
      <w:marTop w:val="0"/>
      <w:marBottom w:val="0"/>
      <w:divBdr>
        <w:top w:val="none" w:sz="0" w:space="0" w:color="auto"/>
        <w:left w:val="none" w:sz="0" w:space="0" w:color="auto"/>
        <w:bottom w:val="none" w:sz="0" w:space="0" w:color="auto"/>
        <w:right w:val="none" w:sz="0" w:space="0" w:color="auto"/>
      </w:divBdr>
    </w:div>
    <w:div w:id="159541798">
      <w:bodyDiv w:val="1"/>
      <w:marLeft w:val="0"/>
      <w:marRight w:val="0"/>
      <w:marTop w:val="0"/>
      <w:marBottom w:val="0"/>
      <w:divBdr>
        <w:top w:val="none" w:sz="0" w:space="0" w:color="auto"/>
        <w:left w:val="none" w:sz="0" w:space="0" w:color="auto"/>
        <w:bottom w:val="none" w:sz="0" w:space="0" w:color="auto"/>
        <w:right w:val="none" w:sz="0" w:space="0" w:color="auto"/>
      </w:divBdr>
      <w:divsChild>
        <w:div w:id="2106221051">
          <w:marLeft w:val="0"/>
          <w:marRight w:val="0"/>
          <w:marTop w:val="0"/>
          <w:marBottom w:val="0"/>
          <w:divBdr>
            <w:top w:val="none" w:sz="0" w:space="0" w:color="auto"/>
            <w:left w:val="none" w:sz="0" w:space="0" w:color="auto"/>
            <w:bottom w:val="none" w:sz="0" w:space="0" w:color="auto"/>
            <w:right w:val="none" w:sz="0" w:space="0" w:color="auto"/>
          </w:divBdr>
          <w:divsChild>
            <w:div w:id="775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971">
      <w:bodyDiv w:val="1"/>
      <w:marLeft w:val="0"/>
      <w:marRight w:val="0"/>
      <w:marTop w:val="0"/>
      <w:marBottom w:val="0"/>
      <w:divBdr>
        <w:top w:val="none" w:sz="0" w:space="0" w:color="auto"/>
        <w:left w:val="none" w:sz="0" w:space="0" w:color="auto"/>
        <w:bottom w:val="none" w:sz="0" w:space="0" w:color="auto"/>
        <w:right w:val="none" w:sz="0" w:space="0" w:color="auto"/>
      </w:divBdr>
      <w:divsChild>
        <w:div w:id="849291520">
          <w:marLeft w:val="0"/>
          <w:marRight w:val="0"/>
          <w:marTop w:val="0"/>
          <w:marBottom w:val="0"/>
          <w:divBdr>
            <w:top w:val="none" w:sz="0" w:space="0" w:color="auto"/>
            <w:left w:val="none" w:sz="0" w:space="0" w:color="auto"/>
            <w:bottom w:val="none" w:sz="0" w:space="0" w:color="auto"/>
            <w:right w:val="none" w:sz="0" w:space="0" w:color="auto"/>
          </w:divBdr>
          <w:divsChild>
            <w:div w:id="1465153967">
              <w:marLeft w:val="0"/>
              <w:marRight w:val="0"/>
              <w:marTop w:val="0"/>
              <w:marBottom w:val="0"/>
              <w:divBdr>
                <w:top w:val="none" w:sz="0" w:space="0" w:color="auto"/>
                <w:left w:val="none" w:sz="0" w:space="0" w:color="auto"/>
                <w:bottom w:val="none" w:sz="0" w:space="0" w:color="auto"/>
                <w:right w:val="none" w:sz="0" w:space="0" w:color="auto"/>
              </w:divBdr>
            </w:div>
            <w:div w:id="1460760076">
              <w:marLeft w:val="0"/>
              <w:marRight w:val="0"/>
              <w:marTop w:val="0"/>
              <w:marBottom w:val="0"/>
              <w:divBdr>
                <w:top w:val="none" w:sz="0" w:space="0" w:color="auto"/>
                <w:left w:val="none" w:sz="0" w:space="0" w:color="auto"/>
                <w:bottom w:val="none" w:sz="0" w:space="0" w:color="auto"/>
                <w:right w:val="none" w:sz="0" w:space="0" w:color="auto"/>
              </w:divBdr>
            </w:div>
            <w:div w:id="2074234699">
              <w:marLeft w:val="0"/>
              <w:marRight w:val="0"/>
              <w:marTop w:val="0"/>
              <w:marBottom w:val="0"/>
              <w:divBdr>
                <w:top w:val="none" w:sz="0" w:space="0" w:color="auto"/>
                <w:left w:val="none" w:sz="0" w:space="0" w:color="auto"/>
                <w:bottom w:val="none" w:sz="0" w:space="0" w:color="auto"/>
                <w:right w:val="none" w:sz="0" w:space="0" w:color="auto"/>
              </w:divBdr>
            </w:div>
            <w:div w:id="216820372">
              <w:marLeft w:val="0"/>
              <w:marRight w:val="0"/>
              <w:marTop w:val="0"/>
              <w:marBottom w:val="0"/>
              <w:divBdr>
                <w:top w:val="none" w:sz="0" w:space="0" w:color="auto"/>
                <w:left w:val="none" w:sz="0" w:space="0" w:color="auto"/>
                <w:bottom w:val="none" w:sz="0" w:space="0" w:color="auto"/>
                <w:right w:val="none" w:sz="0" w:space="0" w:color="auto"/>
              </w:divBdr>
            </w:div>
            <w:div w:id="1331329280">
              <w:marLeft w:val="0"/>
              <w:marRight w:val="0"/>
              <w:marTop w:val="0"/>
              <w:marBottom w:val="0"/>
              <w:divBdr>
                <w:top w:val="none" w:sz="0" w:space="0" w:color="auto"/>
                <w:left w:val="none" w:sz="0" w:space="0" w:color="auto"/>
                <w:bottom w:val="none" w:sz="0" w:space="0" w:color="auto"/>
                <w:right w:val="none" w:sz="0" w:space="0" w:color="auto"/>
              </w:divBdr>
            </w:div>
          </w:divsChild>
        </w:div>
        <w:div w:id="2036467733">
          <w:marLeft w:val="0"/>
          <w:marRight w:val="0"/>
          <w:marTop w:val="0"/>
          <w:marBottom w:val="0"/>
          <w:divBdr>
            <w:top w:val="none" w:sz="0" w:space="0" w:color="auto"/>
            <w:left w:val="none" w:sz="0" w:space="0" w:color="auto"/>
            <w:bottom w:val="none" w:sz="0" w:space="0" w:color="auto"/>
            <w:right w:val="none" w:sz="0" w:space="0" w:color="auto"/>
          </w:divBdr>
        </w:div>
        <w:div w:id="523638676">
          <w:marLeft w:val="0"/>
          <w:marRight w:val="0"/>
          <w:marTop w:val="0"/>
          <w:marBottom w:val="0"/>
          <w:divBdr>
            <w:top w:val="none" w:sz="0" w:space="0" w:color="auto"/>
            <w:left w:val="none" w:sz="0" w:space="0" w:color="auto"/>
            <w:bottom w:val="none" w:sz="0" w:space="0" w:color="auto"/>
            <w:right w:val="none" w:sz="0" w:space="0" w:color="auto"/>
          </w:divBdr>
        </w:div>
        <w:div w:id="375617462">
          <w:marLeft w:val="0"/>
          <w:marRight w:val="0"/>
          <w:marTop w:val="0"/>
          <w:marBottom w:val="0"/>
          <w:divBdr>
            <w:top w:val="none" w:sz="0" w:space="0" w:color="auto"/>
            <w:left w:val="none" w:sz="0" w:space="0" w:color="auto"/>
            <w:bottom w:val="none" w:sz="0" w:space="0" w:color="auto"/>
            <w:right w:val="none" w:sz="0" w:space="0" w:color="auto"/>
          </w:divBdr>
        </w:div>
        <w:div w:id="918900955">
          <w:marLeft w:val="0"/>
          <w:marRight w:val="0"/>
          <w:marTop w:val="0"/>
          <w:marBottom w:val="0"/>
          <w:divBdr>
            <w:top w:val="none" w:sz="0" w:space="0" w:color="auto"/>
            <w:left w:val="none" w:sz="0" w:space="0" w:color="auto"/>
            <w:bottom w:val="none" w:sz="0" w:space="0" w:color="auto"/>
            <w:right w:val="none" w:sz="0" w:space="0" w:color="auto"/>
          </w:divBdr>
        </w:div>
        <w:div w:id="2099865816">
          <w:marLeft w:val="0"/>
          <w:marRight w:val="0"/>
          <w:marTop w:val="0"/>
          <w:marBottom w:val="0"/>
          <w:divBdr>
            <w:top w:val="none" w:sz="0" w:space="0" w:color="auto"/>
            <w:left w:val="none" w:sz="0" w:space="0" w:color="auto"/>
            <w:bottom w:val="none" w:sz="0" w:space="0" w:color="auto"/>
            <w:right w:val="none" w:sz="0" w:space="0" w:color="auto"/>
          </w:divBdr>
        </w:div>
        <w:div w:id="1580361024">
          <w:marLeft w:val="0"/>
          <w:marRight w:val="0"/>
          <w:marTop w:val="0"/>
          <w:marBottom w:val="0"/>
          <w:divBdr>
            <w:top w:val="none" w:sz="0" w:space="0" w:color="auto"/>
            <w:left w:val="none" w:sz="0" w:space="0" w:color="auto"/>
            <w:bottom w:val="none" w:sz="0" w:space="0" w:color="auto"/>
            <w:right w:val="none" w:sz="0" w:space="0" w:color="auto"/>
          </w:divBdr>
        </w:div>
        <w:div w:id="1904025648">
          <w:marLeft w:val="0"/>
          <w:marRight w:val="0"/>
          <w:marTop w:val="0"/>
          <w:marBottom w:val="0"/>
          <w:divBdr>
            <w:top w:val="none" w:sz="0" w:space="0" w:color="auto"/>
            <w:left w:val="none" w:sz="0" w:space="0" w:color="auto"/>
            <w:bottom w:val="none" w:sz="0" w:space="0" w:color="auto"/>
            <w:right w:val="none" w:sz="0" w:space="0" w:color="auto"/>
          </w:divBdr>
        </w:div>
        <w:div w:id="1701542558">
          <w:marLeft w:val="0"/>
          <w:marRight w:val="0"/>
          <w:marTop w:val="0"/>
          <w:marBottom w:val="0"/>
          <w:divBdr>
            <w:top w:val="none" w:sz="0" w:space="0" w:color="auto"/>
            <w:left w:val="none" w:sz="0" w:space="0" w:color="auto"/>
            <w:bottom w:val="none" w:sz="0" w:space="0" w:color="auto"/>
            <w:right w:val="none" w:sz="0" w:space="0" w:color="auto"/>
          </w:divBdr>
        </w:div>
        <w:div w:id="745153225">
          <w:marLeft w:val="0"/>
          <w:marRight w:val="0"/>
          <w:marTop w:val="0"/>
          <w:marBottom w:val="0"/>
          <w:divBdr>
            <w:top w:val="none" w:sz="0" w:space="0" w:color="auto"/>
            <w:left w:val="none" w:sz="0" w:space="0" w:color="auto"/>
            <w:bottom w:val="none" w:sz="0" w:space="0" w:color="auto"/>
            <w:right w:val="none" w:sz="0" w:space="0" w:color="auto"/>
          </w:divBdr>
        </w:div>
        <w:div w:id="437026161">
          <w:marLeft w:val="0"/>
          <w:marRight w:val="0"/>
          <w:marTop w:val="0"/>
          <w:marBottom w:val="0"/>
          <w:divBdr>
            <w:top w:val="none" w:sz="0" w:space="0" w:color="auto"/>
            <w:left w:val="none" w:sz="0" w:space="0" w:color="auto"/>
            <w:bottom w:val="none" w:sz="0" w:space="0" w:color="auto"/>
            <w:right w:val="none" w:sz="0" w:space="0" w:color="auto"/>
          </w:divBdr>
        </w:div>
      </w:divsChild>
    </w:div>
    <w:div w:id="190648308">
      <w:bodyDiv w:val="1"/>
      <w:marLeft w:val="0"/>
      <w:marRight w:val="0"/>
      <w:marTop w:val="0"/>
      <w:marBottom w:val="0"/>
      <w:divBdr>
        <w:top w:val="none" w:sz="0" w:space="0" w:color="auto"/>
        <w:left w:val="none" w:sz="0" w:space="0" w:color="auto"/>
        <w:bottom w:val="none" w:sz="0" w:space="0" w:color="auto"/>
        <w:right w:val="none" w:sz="0" w:space="0" w:color="auto"/>
      </w:divBdr>
    </w:div>
    <w:div w:id="212355117">
      <w:bodyDiv w:val="1"/>
      <w:marLeft w:val="0"/>
      <w:marRight w:val="0"/>
      <w:marTop w:val="0"/>
      <w:marBottom w:val="0"/>
      <w:divBdr>
        <w:top w:val="none" w:sz="0" w:space="0" w:color="auto"/>
        <w:left w:val="none" w:sz="0" w:space="0" w:color="auto"/>
        <w:bottom w:val="none" w:sz="0" w:space="0" w:color="auto"/>
        <w:right w:val="none" w:sz="0" w:space="0" w:color="auto"/>
      </w:divBdr>
    </w:div>
    <w:div w:id="269819263">
      <w:bodyDiv w:val="1"/>
      <w:marLeft w:val="0"/>
      <w:marRight w:val="0"/>
      <w:marTop w:val="0"/>
      <w:marBottom w:val="0"/>
      <w:divBdr>
        <w:top w:val="none" w:sz="0" w:space="0" w:color="auto"/>
        <w:left w:val="none" w:sz="0" w:space="0" w:color="auto"/>
        <w:bottom w:val="none" w:sz="0" w:space="0" w:color="auto"/>
        <w:right w:val="none" w:sz="0" w:space="0" w:color="auto"/>
      </w:divBdr>
    </w:div>
    <w:div w:id="300233239">
      <w:bodyDiv w:val="1"/>
      <w:marLeft w:val="0"/>
      <w:marRight w:val="0"/>
      <w:marTop w:val="0"/>
      <w:marBottom w:val="0"/>
      <w:divBdr>
        <w:top w:val="none" w:sz="0" w:space="0" w:color="auto"/>
        <w:left w:val="none" w:sz="0" w:space="0" w:color="auto"/>
        <w:bottom w:val="none" w:sz="0" w:space="0" w:color="auto"/>
        <w:right w:val="none" w:sz="0" w:space="0" w:color="auto"/>
      </w:divBdr>
    </w:div>
    <w:div w:id="323433892">
      <w:bodyDiv w:val="1"/>
      <w:marLeft w:val="0"/>
      <w:marRight w:val="0"/>
      <w:marTop w:val="0"/>
      <w:marBottom w:val="0"/>
      <w:divBdr>
        <w:top w:val="none" w:sz="0" w:space="0" w:color="auto"/>
        <w:left w:val="none" w:sz="0" w:space="0" w:color="auto"/>
        <w:bottom w:val="none" w:sz="0" w:space="0" w:color="auto"/>
        <w:right w:val="none" w:sz="0" w:space="0" w:color="auto"/>
      </w:divBdr>
    </w:div>
    <w:div w:id="376441956">
      <w:bodyDiv w:val="1"/>
      <w:marLeft w:val="0"/>
      <w:marRight w:val="0"/>
      <w:marTop w:val="0"/>
      <w:marBottom w:val="0"/>
      <w:divBdr>
        <w:top w:val="none" w:sz="0" w:space="0" w:color="auto"/>
        <w:left w:val="none" w:sz="0" w:space="0" w:color="auto"/>
        <w:bottom w:val="none" w:sz="0" w:space="0" w:color="auto"/>
        <w:right w:val="none" w:sz="0" w:space="0" w:color="auto"/>
      </w:divBdr>
    </w:div>
    <w:div w:id="382558903">
      <w:bodyDiv w:val="1"/>
      <w:marLeft w:val="0"/>
      <w:marRight w:val="0"/>
      <w:marTop w:val="0"/>
      <w:marBottom w:val="0"/>
      <w:divBdr>
        <w:top w:val="none" w:sz="0" w:space="0" w:color="auto"/>
        <w:left w:val="none" w:sz="0" w:space="0" w:color="auto"/>
        <w:bottom w:val="none" w:sz="0" w:space="0" w:color="auto"/>
        <w:right w:val="none" w:sz="0" w:space="0" w:color="auto"/>
      </w:divBdr>
    </w:div>
    <w:div w:id="546599789">
      <w:bodyDiv w:val="1"/>
      <w:marLeft w:val="0"/>
      <w:marRight w:val="0"/>
      <w:marTop w:val="0"/>
      <w:marBottom w:val="0"/>
      <w:divBdr>
        <w:top w:val="none" w:sz="0" w:space="0" w:color="auto"/>
        <w:left w:val="none" w:sz="0" w:space="0" w:color="auto"/>
        <w:bottom w:val="none" w:sz="0" w:space="0" w:color="auto"/>
        <w:right w:val="none" w:sz="0" w:space="0" w:color="auto"/>
      </w:divBdr>
    </w:div>
    <w:div w:id="574901912">
      <w:bodyDiv w:val="1"/>
      <w:marLeft w:val="0"/>
      <w:marRight w:val="0"/>
      <w:marTop w:val="0"/>
      <w:marBottom w:val="0"/>
      <w:divBdr>
        <w:top w:val="none" w:sz="0" w:space="0" w:color="auto"/>
        <w:left w:val="none" w:sz="0" w:space="0" w:color="auto"/>
        <w:bottom w:val="none" w:sz="0" w:space="0" w:color="auto"/>
        <w:right w:val="none" w:sz="0" w:space="0" w:color="auto"/>
      </w:divBdr>
    </w:div>
    <w:div w:id="700319215">
      <w:bodyDiv w:val="1"/>
      <w:marLeft w:val="0"/>
      <w:marRight w:val="0"/>
      <w:marTop w:val="0"/>
      <w:marBottom w:val="0"/>
      <w:divBdr>
        <w:top w:val="none" w:sz="0" w:space="0" w:color="auto"/>
        <w:left w:val="none" w:sz="0" w:space="0" w:color="auto"/>
        <w:bottom w:val="none" w:sz="0" w:space="0" w:color="auto"/>
        <w:right w:val="none" w:sz="0" w:space="0" w:color="auto"/>
      </w:divBdr>
      <w:divsChild>
        <w:div w:id="1647272316">
          <w:marLeft w:val="0"/>
          <w:marRight w:val="0"/>
          <w:marTop w:val="0"/>
          <w:marBottom w:val="0"/>
          <w:divBdr>
            <w:top w:val="none" w:sz="0" w:space="0" w:color="auto"/>
            <w:left w:val="none" w:sz="0" w:space="0" w:color="auto"/>
            <w:bottom w:val="none" w:sz="0" w:space="0" w:color="auto"/>
            <w:right w:val="none" w:sz="0" w:space="0" w:color="auto"/>
          </w:divBdr>
          <w:divsChild>
            <w:div w:id="1176847720">
              <w:marLeft w:val="0"/>
              <w:marRight w:val="0"/>
              <w:marTop w:val="0"/>
              <w:marBottom w:val="0"/>
              <w:divBdr>
                <w:top w:val="none" w:sz="0" w:space="0" w:color="auto"/>
                <w:left w:val="none" w:sz="0" w:space="0" w:color="auto"/>
                <w:bottom w:val="none" w:sz="0" w:space="0" w:color="auto"/>
                <w:right w:val="none" w:sz="0" w:space="0" w:color="auto"/>
              </w:divBdr>
            </w:div>
            <w:div w:id="1428382087">
              <w:marLeft w:val="0"/>
              <w:marRight w:val="0"/>
              <w:marTop w:val="0"/>
              <w:marBottom w:val="0"/>
              <w:divBdr>
                <w:top w:val="none" w:sz="0" w:space="0" w:color="auto"/>
                <w:left w:val="none" w:sz="0" w:space="0" w:color="auto"/>
                <w:bottom w:val="none" w:sz="0" w:space="0" w:color="auto"/>
                <w:right w:val="none" w:sz="0" w:space="0" w:color="auto"/>
              </w:divBdr>
            </w:div>
            <w:div w:id="1483545302">
              <w:marLeft w:val="0"/>
              <w:marRight w:val="0"/>
              <w:marTop w:val="0"/>
              <w:marBottom w:val="0"/>
              <w:divBdr>
                <w:top w:val="none" w:sz="0" w:space="0" w:color="auto"/>
                <w:left w:val="none" w:sz="0" w:space="0" w:color="auto"/>
                <w:bottom w:val="none" w:sz="0" w:space="0" w:color="auto"/>
                <w:right w:val="none" w:sz="0" w:space="0" w:color="auto"/>
              </w:divBdr>
            </w:div>
            <w:div w:id="136532442">
              <w:marLeft w:val="0"/>
              <w:marRight w:val="0"/>
              <w:marTop w:val="0"/>
              <w:marBottom w:val="0"/>
              <w:divBdr>
                <w:top w:val="none" w:sz="0" w:space="0" w:color="auto"/>
                <w:left w:val="none" w:sz="0" w:space="0" w:color="auto"/>
                <w:bottom w:val="none" w:sz="0" w:space="0" w:color="auto"/>
                <w:right w:val="none" w:sz="0" w:space="0" w:color="auto"/>
              </w:divBdr>
            </w:div>
            <w:div w:id="963999645">
              <w:marLeft w:val="0"/>
              <w:marRight w:val="0"/>
              <w:marTop w:val="0"/>
              <w:marBottom w:val="0"/>
              <w:divBdr>
                <w:top w:val="none" w:sz="0" w:space="0" w:color="auto"/>
                <w:left w:val="none" w:sz="0" w:space="0" w:color="auto"/>
                <w:bottom w:val="none" w:sz="0" w:space="0" w:color="auto"/>
                <w:right w:val="none" w:sz="0" w:space="0" w:color="auto"/>
              </w:divBdr>
            </w:div>
          </w:divsChild>
        </w:div>
        <w:div w:id="125859848">
          <w:marLeft w:val="0"/>
          <w:marRight w:val="0"/>
          <w:marTop w:val="0"/>
          <w:marBottom w:val="0"/>
          <w:divBdr>
            <w:top w:val="none" w:sz="0" w:space="0" w:color="auto"/>
            <w:left w:val="none" w:sz="0" w:space="0" w:color="auto"/>
            <w:bottom w:val="none" w:sz="0" w:space="0" w:color="auto"/>
            <w:right w:val="none" w:sz="0" w:space="0" w:color="auto"/>
          </w:divBdr>
        </w:div>
        <w:div w:id="1800105287">
          <w:marLeft w:val="0"/>
          <w:marRight w:val="0"/>
          <w:marTop w:val="0"/>
          <w:marBottom w:val="0"/>
          <w:divBdr>
            <w:top w:val="none" w:sz="0" w:space="0" w:color="auto"/>
            <w:left w:val="none" w:sz="0" w:space="0" w:color="auto"/>
            <w:bottom w:val="none" w:sz="0" w:space="0" w:color="auto"/>
            <w:right w:val="none" w:sz="0" w:space="0" w:color="auto"/>
          </w:divBdr>
        </w:div>
        <w:div w:id="1698700313">
          <w:marLeft w:val="0"/>
          <w:marRight w:val="0"/>
          <w:marTop w:val="0"/>
          <w:marBottom w:val="0"/>
          <w:divBdr>
            <w:top w:val="none" w:sz="0" w:space="0" w:color="auto"/>
            <w:left w:val="none" w:sz="0" w:space="0" w:color="auto"/>
            <w:bottom w:val="none" w:sz="0" w:space="0" w:color="auto"/>
            <w:right w:val="none" w:sz="0" w:space="0" w:color="auto"/>
          </w:divBdr>
        </w:div>
        <w:div w:id="65498215">
          <w:marLeft w:val="0"/>
          <w:marRight w:val="0"/>
          <w:marTop w:val="0"/>
          <w:marBottom w:val="0"/>
          <w:divBdr>
            <w:top w:val="none" w:sz="0" w:space="0" w:color="auto"/>
            <w:left w:val="none" w:sz="0" w:space="0" w:color="auto"/>
            <w:bottom w:val="none" w:sz="0" w:space="0" w:color="auto"/>
            <w:right w:val="none" w:sz="0" w:space="0" w:color="auto"/>
          </w:divBdr>
        </w:div>
        <w:div w:id="1505241182">
          <w:marLeft w:val="0"/>
          <w:marRight w:val="0"/>
          <w:marTop w:val="0"/>
          <w:marBottom w:val="0"/>
          <w:divBdr>
            <w:top w:val="none" w:sz="0" w:space="0" w:color="auto"/>
            <w:left w:val="none" w:sz="0" w:space="0" w:color="auto"/>
            <w:bottom w:val="none" w:sz="0" w:space="0" w:color="auto"/>
            <w:right w:val="none" w:sz="0" w:space="0" w:color="auto"/>
          </w:divBdr>
        </w:div>
      </w:divsChild>
    </w:div>
    <w:div w:id="746999435">
      <w:bodyDiv w:val="1"/>
      <w:marLeft w:val="0"/>
      <w:marRight w:val="0"/>
      <w:marTop w:val="0"/>
      <w:marBottom w:val="0"/>
      <w:divBdr>
        <w:top w:val="none" w:sz="0" w:space="0" w:color="auto"/>
        <w:left w:val="none" w:sz="0" w:space="0" w:color="auto"/>
        <w:bottom w:val="none" w:sz="0" w:space="0" w:color="auto"/>
        <w:right w:val="none" w:sz="0" w:space="0" w:color="auto"/>
      </w:divBdr>
      <w:divsChild>
        <w:div w:id="2081828078">
          <w:marLeft w:val="0"/>
          <w:marRight w:val="0"/>
          <w:marTop w:val="0"/>
          <w:marBottom w:val="0"/>
          <w:divBdr>
            <w:top w:val="none" w:sz="0" w:space="0" w:color="auto"/>
            <w:left w:val="none" w:sz="0" w:space="0" w:color="auto"/>
            <w:bottom w:val="none" w:sz="0" w:space="0" w:color="auto"/>
            <w:right w:val="none" w:sz="0" w:space="0" w:color="auto"/>
          </w:divBdr>
        </w:div>
      </w:divsChild>
    </w:div>
    <w:div w:id="773524463">
      <w:bodyDiv w:val="1"/>
      <w:marLeft w:val="0"/>
      <w:marRight w:val="0"/>
      <w:marTop w:val="0"/>
      <w:marBottom w:val="0"/>
      <w:divBdr>
        <w:top w:val="none" w:sz="0" w:space="0" w:color="auto"/>
        <w:left w:val="none" w:sz="0" w:space="0" w:color="auto"/>
        <w:bottom w:val="none" w:sz="0" w:space="0" w:color="auto"/>
        <w:right w:val="none" w:sz="0" w:space="0" w:color="auto"/>
      </w:divBdr>
    </w:div>
    <w:div w:id="790707007">
      <w:bodyDiv w:val="1"/>
      <w:marLeft w:val="0"/>
      <w:marRight w:val="0"/>
      <w:marTop w:val="0"/>
      <w:marBottom w:val="0"/>
      <w:divBdr>
        <w:top w:val="none" w:sz="0" w:space="0" w:color="auto"/>
        <w:left w:val="none" w:sz="0" w:space="0" w:color="auto"/>
        <w:bottom w:val="none" w:sz="0" w:space="0" w:color="auto"/>
        <w:right w:val="none" w:sz="0" w:space="0" w:color="auto"/>
      </w:divBdr>
    </w:div>
    <w:div w:id="801114389">
      <w:bodyDiv w:val="1"/>
      <w:marLeft w:val="0"/>
      <w:marRight w:val="0"/>
      <w:marTop w:val="0"/>
      <w:marBottom w:val="0"/>
      <w:divBdr>
        <w:top w:val="none" w:sz="0" w:space="0" w:color="auto"/>
        <w:left w:val="none" w:sz="0" w:space="0" w:color="auto"/>
        <w:bottom w:val="none" w:sz="0" w:space="0" w:color="auto"/>
        <w:right w:val="none" w:sz="0" w:space="0" w:color="auto"/>
      </w:divBdr>
    </w:div>
    <w:div w:id="853350065">
      <w:bodyDiv w:val="1"/>
      <w:marLeft w:val="0"/>
      <w:marRight w:val="0"/>
      <w:marTop w:val="0"/>
      <w:marBottom w:val="0"/>
      <w:divBdr>
        <w:top w:val="none" w:sz="0" w:space="0" w:color="auto"/>
        <w:left w:val="none" w:sz="0" w:space="0" w:color="auto"/>
        <w:bottom w:val="none" w:sz="0" w:space="0" w:color="auto"/>
        <w:right w:val="none" w:sz="0" w:space="0" w:color="auto"/>
      </w:divBdr>
    </w:div>
    <w:div w:id="910384075">
      <w:bodyDiv w:val="1"/>
      <w:marLeft w:val="0"/>
      <w:marRight w:val="0"/>
      <w:marTop w:val="0"/>
      <w:marBottom w:val="0"/>
      <w:divBdr>
        <w:top w:val="none" w:sz="0" w:space="0" w:color="auto"/>
        <w:left w:val="none" w:sz="0" w:space="0" w:color="auto"/>
        <w:bottom w:val="none" w:sz="0" w:space="0" w:color="auto"/>
        <w:right w:val="none" w:sz="0" w:space="0" w:color="auto"/>
      </w:divBdr>
    </w:div>
    <w:div w:id="918751246">
      <w:bodyDiv w:val="1"/>
      <w:marLeft w:val="0"/>
      <w:marRight w:val="0"/>
      <w:marTop w:val="0"/>
      <w:marBottom w:val="0"/>
      <w:divBdr>
        <w:top w:val="none" w:sz="0" w:space="0" w:color="auto"/>
        <w:left w:val="none" w:sz="0" w:space="0" w:color="auto"/>
        <w:bottom w:val="none" w:sz="0" w:space="0" w:color="auto"/>
        <w:right w:val="none" w:sz="0" w:space="0" w:color="auto"/>
      </w:divBdr>
    </w:div>
    <w:div w:id="946306697">
      <w:bodyDiv w:val="1"/>
      <w:marLeft w:val="0"/>
      <w:marRight w:val="0"/>
      <w:marTop w:val="0"/>
      <w:marBottom w:val="0"/>
      <w:divBdr>
        <w:top w:val="none" w:sz="0" w:space="0" w:color="auto"/>
        <w:left w:val="none" w:sz="0" w:space="0" w:color="auto"/>
        <w:bottom w:val="none" w:sz="0" w:space="0" w:color="auto"/>
        <w:right w:val="none" w:sz="0" w:space="0" w:color="auto"/>
      </w:divBdr>
    </w:div>
    <w:div w:id="1045956305">
      <w:bodyDiv w:val="1"/>
      <w:marLeft w:val="0"/>
      <w:marRight w:val="0"/>
      <w:marTop w:val="0"/>
      <w:marBottom w:val="0"/>
      <w:divBdr>
        <w:top w:val="none" w:sz="0" w:space="0" w:color="auto"/>
        <w:left w:val="none" w:sz="0" w:space="0" w:color="auto"/>
        <w:bottom w:val="none" w:sz="0" w:space="0" w:color="auto"/>
        <w:right w:val="none" w:sz="0" w:space="0" w:color="auto"/>
      </w:divBdr>
    </w:div>
    <w:div w:id="1058825111">
      <w:bodyDiv w:val="1"/>
      <w:marLeft w:val="0"/>
      <w:marRight w:val="0"/>
      <w:marTop w:val="0"/>
      <w:marBottom w:val="0"/>
      <w:divBdr>
        <w:top w:val="none" w:sz="0" w:space="0" w:color="auto"/>
        <w:left w:val="none" w:sz="0" w:space="0" w:color="auto"/>
        <w:bottom w:val="none" w:sz="0" w:space="0" w:color="auto"/>
        <w:right w:val="none" w:sz="0" w:space="0" w:color="auto"/>
      </w:divBdr>
    </w:div>
    <w:div w:id="1079867429">
      <w:bodyDiv w:val="1"/>
      <w:marLeft w:val="0"/>
      <w:marRight w:val="0"/>
      <w:marTop w:val="0"/>
      <w:marBottom w:val="0"/>
      <w:divBdr>
        <w:top w:val="none" w:sz="0" w:space="0" w:color="auto"/>
        <w:left w:val="none" w:sz="0" w:space="0" w:color="auto"/>
        <w:bottom w:val="none" w:sz="0" w:space="0" w:color="auto"/>
        <w:right w:val="none" w:sz="0" w:space="0" w:color="auto"/>
      </w:divBdr>
      <w:divsChild>
        <w:div w:id="1225683288">
          <w:marLeft w:val="0"/>
          <w:marRight w:val="0"/>
          <w:marTop w:val="0"/>
          <w:marBottom w:val="0"/>
          <w:divBdr>
            <w:top w:val="none" w:sz="0" w:space="0" w:color="auto"/>
            <w:left w:val="none" w:sz="0" w:space="0" w:color="auto"/>
            <w:bottom w:val="none" w:sz="0" w:space="0" w:color="auto"/>
            <w:right w:val="none" w:sz="0" w:space="0" w:color="auto"/>
          </w:divBdr>
        </w:div>
        <w:div w:id="1737849211">
          <w:marLeft w:val="0"/>
          <w:marRight w:val="0"/>
          <w:marTop w:val="0"/>
          <w:marBottom w:val="0"/>
          <w:divBdr>
            <w:top w:val="none" w:sz="0" w:space="0" w:color="auto"/>
            <w:left w:val="none" w:sz="0" w:space="0" w:color="auto"/>
            <w:bottom w:val="none" w:sz="0" w:space="0" w:color="auto"/>
            <w:right w:val="none" w:sz="0" w:space="0" w:color="auto"/>
          </w:divBdr>
        </w:div>
        <w:div w:id="438379680">
          <w:marLeft w:val="0"/>
          <w:marRight w:val="0"/>
          <w:marTop w:val="0"/>
          <w:marBottom w:val="0"/>
          <w:divBdr>
            <w:top w:val="none" w:sz="0" w:space="0" w:color="auto"/>
            <w:left w:val="none" w:sz="0" w:space="0" w:color="auto"/>
            <w:bottom w:val="none" w:sz="0" w:space="0" w:color="auto"/>
            <w:right w:val="none" w:sz="0" w:space="0" w:color="auto"/>
          </w:divBdr>
        </w:div>
        <w:div w:id="782312694">
          <w:marLeft w:val="0"/>
          <w:marRight w:val="0"/>
          <w:marTop w:val="0"/>
          <w:marBottom w:val="0"/>
          <w:divBdr>
            <w:top w:val="none" w:sz="0" w:space="0" w:color="auto"/>
            <w:left w:val="none" w:sz="0" w:space="0" w:color="auto"/>
            <w:bottom w:val="none" w:sz="0" w:space="0" w:color="auto"/>
            <w:right w:val="none" w:sz="0" w:space="0" w:color="auto"/>
          </w:divBdr>
        </w:div>
        <w:div w:id="166411454">
          <w:marLeft w:val="0"/>
          <w:marRight w:val="0"/>
          <w:marTop w:val="0"/>
          <w:marBottom w:val="0"/>
          <w:divBdr>
            <w:top w:val="none" w:sz="0" w:space="0" w:color="auto"/>
            <w:left w:val="none" w:sz="0" w:space="0" w:color="auto"/>
            <w:bottom w:val="none" w:sz="0" w:space="0" w:color="auto"/>
            <w:right w:val="none" w:sz="0" w:space="0" w:color="auto"/>
          </w:divBdr>
        </w:div>
        <w:div w:id="1898666569">
          <w:marLeft w:val="0"/>
          <w:marRight w:val="0"/>
          <w:marTop w:val="0"/>
          <w:marBottom w:val="0"/>
          <w:divBdr>
            <w:top w:val="none" w:sz="0" w:space="0" w:color="auto"/>
            <w:left w:val="none" w:sz="0" w:space="0" w:color="auto"/>
            <w:bottom w:val="none" w:sz="0" w:space="0" w:color="auto"/>
            <w:right w:val="none" w:sz="0" w:space="0" w:color="auto"/>
          </w:divBdr>
        </w:div>
        <w:div w:id="1274479917">
          <w:marLeft w:val="0"/>
          <w:marRight w:val="0"/>
          <w:marTop w:val="0"/>
          <w:marBottom w:val="0"/>
          <w:divBdr>
            <w:top w:val="none" w:sz="0" w:space="0" w:color="auto"/>
            <w:left w:val="none" w:sz="0" w:space="0" w:color="auto"/>
            <w:bottom w:val="none" w:sz="0" w:space="0" w:color="auto"/>
            <w:right w:val="none" w:sz="0" w:space="0" w:color="auto"/>
          </w:divBdr>
        </w:div>
        <w:div w:id="581111632">
          <w:marLeft w:val="0"/>
          <w:marRight w:val="0"/>
          <w:marTop w:val="0"/>
          <w:marBottom w:val="0"/>
          <w:divBdr>
            <w:top w:val="none" w:sz="0" w:space="0" w:color="auto"/>
            <w:left w:val="none" w:sz="0" w:space="0" w:color="auto"/>
            <w:bottom w:val="none" w:sz="0" w:space="0" w:color="auto"/>
            <w:right w:val="none" w:sz="0" w:space="0" w:color="auto"/>
          </w:divBdr>
        </w:div>
        <w:div w:id="1779718047">
          <w:marLeft w:val="0"/>
          <w:marRight w:val="0"/>
          <w:marTop w:val="0"/>
          <w:marBottom w:val="0"/>
          <w:divBdr>
            <w:top w:val="none" w:sz="0" w:space="0" w:color="auto"/>
            <w:left w:val="none" w:sz="0" w:space="0" w:color="auto"/>
            <w:bottom w:val="none" w:sz="0" w:space="0" w:color="auto"/>
            <w:right w:val="none" w:sz="0" w:space="0" w:color="auto"/>
          </w:divBdr>
        </w:div>
        <w:div w:id="445858161">
          <w:marLeft w:val="0"/>
          <w:marRight w:val="0"/>
          <w:marTop w:val="0"/>
          <w:marBottom w:val="0"/>
          <w:divBdr>
            <w:top w:val="none" w:sz="0" w:space="0" w:color="auto"/>
            <w:left w:val="none" w:sz="0" w:space="0" w:color="auto"/>
            <w:bottom w:val="none" w:sz="0" w:space="0" w:color="auto"/>
            <w:right w:val="none" w:sz="0" w:space="0" w:color="auto"/>
          </w:divBdr>
        </w:div>
        <w:div w:id="554896540">
          <w:marLeft w:val="0"/>
          <w:marRight w:val="0"/>
          <w:marTop w:val="0"/>
          <w:marBottom w:val="0"/>
          <w:divBdr>
            <w:top w:val="none" w:sz="0" w:space="0" w:color="auto"/>
            <w:left w:val="none" w:sz="0" w:space="0" w:color="auto"/>
            <w:bottom w:val="none" w:sz="0" w:space="0" w:color="auto"/>
            <w:right w:val="none" w:sz="0" w:space="0" w:color="auto"/>
          </w:divBdr>
        </w:div>
        <w:div w:id="1361928861">
          <w:marLeft w:val="0"/>
          <w:marRight w:val="0"/>
          <w:marTop w:val="0"/>
          <w:marBottom w:val="0"/>
          <w:divBdr>
            <w:top w:val="none" w:sz="0" w:space="0" w:color="auto"/>
            <w:left w:val="none" w:sz="0" w:space="0" w:color="auto"/>
            <w:bottom w:val="none" w:sz="0" w:space="0" w:color="auto"/>
            <w:right w:val="none" w:sz="0" w:space="0" w:color="auto"/>
          </w:divBdr>
        </w:div>
      </w:divsChild>
    </w:div>
    <w:div w:id="1082683731">
      <w:bodyDiv w:val="1"/>
      <w:marLeft w:val="0"/>
      <w:marRight w:val="0"/>
      <w:marTop w:val="0"/>
      <w:marBottom w:val="0"/>
      <w:divBdr>
        <w:top w:val="none" w:sz="0" w:space="0" w:color="auto"/>
        <w:left w:val="none" w:sz="0" w:space="0" w:color="auto"/>
        <w:bottom w:val="none" w:sz="0" w:space="0" w:color="auto"/>
        <w:right w:val="none" w:sz="0" w:space="0" w:color="auto"/>
      </w:divBdr>
    </w:div>
    <w:div w:id="1133870596">
      <w:bodyDiv w:val="1"/>
      <w:marLeft w:val="0"/>
      <w:marRight w:val="0"/>
      <w:marTop w:val="0"/>
      <w:marBottom w:val="0"/>
      <w:divBdr>
        <w:top w:val="none" w:sz="0" w:space="0" w:color="auto"/>
        <w:left w:val="none" w:sz="0" w:space="0" w:color="auto"/>
        <w:bottom w:val="none" w:sz="0" w:space="0" w:color="auto"/>
        <w:right w:val="none" w:sz="0" w:space="0" w:color="auto"/>
      </w:divBdr>
    </w:div>
    <w:div w:id="1158497342">
      <w:bodyDiv w:val="1"/>
      <w:marLeft w:val="0"/>
      <w:marRight w:val="0"/>
      <w:marTop w:val="0"/>
      <w:marBottom w:val="0"/>
      <w:divBdr>
        <w:top w:val="none" w:sz="0" w:space="0" w:color="auto"/>
        <w:left w:val="none" w:sz="0" w:space="0" w:color="auto"/>
        <w:bottom w:val="none" w:sz="0" w:space="0" w:color="auto"/>
        <w:right w:val="none" w:sz="0" w:space="0" w:color="auto"/>
      </w:divBdr>
    </w:div>
    <w:div w:id="1218005780">
      <w:bodyDiv w:val="1"/>
      <w:marLeft w:val="0"/>
      <w:marRight w:val="0"/>
      <w:marTop w:val="0"/>
      <w:marBottom w:val="0"/>
      <w:divBdr>
        <w:top w:val="none" w:sz="0" w:space="0" w:color="auto"/>
        <w:left w:val="none" w:sz="0" w:space="0" w:color="auto"/>
        <w:bottom w:val="none" w:sz="0" w:space="0" w:color="auto"/>
        <w:right w:val="none" w:sz="0" w:space="0" w:color="auto"/>
      </w:divBdr>
    </w:div>
    <w:div w:id="1251500682">
      <w:bodyDiv w:val="1"/>
      <w:marLeft w:val="0"/>
      <w:marRight w:val="0"/>
      <w:marTop w:val="0"/>
      <w:marBottom w:val="0"/>
      <w:divBdr>
        <w:top w:val="none" w:sz="0" w:space="0" w:color="auto"/>
        <w:left w:val="none" w:sz="0" w:space="0" w:color="auto"/>
        <w:bottom w:val="none" w:sz="0" w:space="0" w:color="auto"/>
        <w:right w:val="none" w:sz="0" w:space="0" w:color="auto"/>
      </w:divBdr>
    </w:div>
    <w:div w:id="1307053659">
      <w:bodyDiv w:val="1"/>
      <w:marLeft w:val="0"/>
      <w:marRight w:val="0"/>
      <w:marTop w:val="0"/>
      <w:marBottom w:val="0"/>
      <w:divBdr>
        <w:top w:val="none" w:sz="0" w:space="0" w:color="auto"/>
        <w:left w:val="none" w:sz="0" w:space="0" w:color="auto"/>
        <w:bottom w:val="none" w:sz="0" w:space="0" w:color="auto"/>
        <w:right w:val="none" w:sz="0" w:space="0" w:color="auto"/>
      </w:divBdr>
    </w:div>
    <w:div w:id="1386415536">
      <w:bodyDiv w:val="1"/>
      <w:marLeft w:val="0"/>
      <w:marRight w:val="0"/>
      <w:marTop w:val="0"/>
      <w:marBottom w:val="0"/>
      <w:divBdr>
        <w:top w:val="none" w:sz="0" w:space="0" w:color="auto"/>
        <w:left w:val="none" w:sz="0" w:space="0" w:color="auto"/>
        <w:bottom w:val="none" w:sz="0" w:space="0" w:color="auto"/>
        <w:right w:val="none" w:sz="0" w:space="0" w:color="auto"/>
      </w:divBdr>
    </w:div>
    <w:div w:id="1397242233">
      <w:bodyDiv w:val="1"/>
      <w:marLeft w:val="0"/>
      <w:marRight w:val="0"/>
      <w:marTop w:val="0"/>
      <w:marBottom w:val="0"/>
      <w:divBdr>
        <w:top w:val="none" w:sz="0" w:space="0" w:color="auto"/>
        <w:left w:val="none" w:sz="0" w:space="0" w:color="auto"/>
        <w:bottom w:val="none" w:sz="0" w:space="0" w:color="auto"/>
        <w:right w:val="none" w:sz="0" w:space="0" w:color="auto"/>
      </w:divBdr>
    </w:div>
    <w:div w:id="1408573362">
      <w:bodyDiv w:val="1"/>
      <w:marLeft w:val="0"/>
      <w:marRight w:val="0"/>
      <w:marTop w:val="0"/>
      <w:marBottom w:val="0"/>
      <w:divBdr>
        <w:top w:val="none" w:sz="0" w:space="0" w:color="auto"/>
        <w:left w:val="none" w:sz="0" w:space="0" w:color="auto"/>
        <w:bottom w:val="none" w:sz="0" w:space="0" w:color="auto"/>
        <w:right w:val="none" w:sz="0" w:space="0" w:color="auto"/>
      </w:divBdr>
    </w:div>
    <w:div w:id="1426027093">
      <w:bodyDiv w:val="1"/>
      <w:marLeft w:val="0"/>
      <w:marRight w:val="0"/>
      <w:marTop w:val="0"/>
      <w:marBottom w:val="0"/>
      <w:divBdr>
        <w:top w:val="none" w:sz="0" w:space="0" w:color="auto"/>
        <w:left w:val="none" w:sz="0" w:space="0" w:color="auto"/>
        <w:bottom w:val="none" w:sz="0" w:space="0" w:color="auto"/>
        <w:right w:val="none" w:sz="0" w:space="0" w:color="auto"/>
      </w:divBdr>
    </w:div>
    <w:div w:id="1429351074">
      <w:bodyDiv w:val="1"/>
      <w:marLeft w:val="0"/>
      <w:marRight w:val="0"/>
      <w:marTop w:val="0"/>
      <w:marBottom w:val="0"/>
      <w:divBdr>
        <w:top w:val="none" w:sz="0" w:space="0" w:color="auto"/>
        <w:left w:val="none" w:sz="0" w:space="0" w:color="auto"/>
        <w:bottom w:val="none" w:sz="0" w:space="0" w:color="auto"/>
        <w:right w:val="none" w:sz="0" w:space="0" w:color="auto"/>
      </w:divBdr>
    </w:div>
    <w:div w:id="1472820107">
      <w:bodyDiv w:val="1"/>
      <w:marLeft w:val="0"/>
      <w:marRight w:val="0"/>
      <w:marTop w:val="0"/>
      <w:marBottom w:val="0"/>
      <w:divBdr>
        <w:top w:val="none" w:sz="0" w:space="0" w:color="auto"/>
        <w:left w:val="none" w:sz="0" w:space="0" w:color="auto"/>
        <w:bottom w:val="none" w:sz="0" w:space="0" w:color="auto"/>
        <w:right w:val="none" w:sz="0" w:space="0" w:color="auto"/>
      </w:divBdr>
    </w:div>
    <w:div w:id="1583296757">
      <w:bodyDiv w:val="1"/>
      <w:marLeft w:val="0"/>
      <w:marRight w:val="0"/>
      <w:marTop w:val="0"/>
      <w:marBottom w:val="0"/>
      <w:divBdr>
        <w:top w:val="none" w:sz="0" w:space="0" w:color="auto"/>
        <w:left w:val="none" w:sz="0" w:space="0" w:color="auto"/>
        <w:bottom w:val="none" w:sz="0" w:space="0" w:color="auto"/>
        <w:right w:val="none" w:sz="0" w:space="0" w:color="auto"/>
      </w:divBdr>
    </w:div>
    <w:div w:id="1629314671">
      <w:bodyDiv w:val="1"/>
      <w:marLeft w:val="0"/>
      <w:marRight w:val="0"/>
      <w:marTop w:val="0"/>
      <w:marBottom w:val="0"/>
      <w:divBdr>
        <w:top w:val="none" w:sz="0" w:space="0" w:color="auto"/>
        <w:left w:val="none" w:sz="0" w:space="0" w:color="auto"/>
        <w:bottom w:val="none" w:sz="0" w:space="0" w:color="auto"/>
        <w:right w:val="none" w:sz="0" w:space="0" w:color="auto"/>
      </w:divBdr>
    </w:div>
    <w:div w:id="1653951458">
      <w:bodyDiv w:val="1"/>
      <w:marLeft w:val="0"/>
      <w:marRight w:val="0"/>
      <w:marTop w:val="0"/>
      <w:marBottom w:val="0"/>
      <w:divBdr>
        <w:top w:val="none" w:sz="0" w:space="0" w:color="auto"/>
        <w:left w:val="none" w:sz="0" w:space="0" w:color="auto"/>
        <w:bottom w:val="none" w:sz="0" w:space="0" w:color="auto"/>
        <w:right w:val="none" w:sz="0" w:space="0" w:color="auto"/>
      </w:divBdr>
    </w:div>
    <w:div w:id="1749376619">
      <w:bodyDiv w:val="1"/>
      <w:marLeft w:val="0"/>
      <w:marRight w:val="0"/>
      <w:marTop w:val="0"/>
      <w:marBottom w:val="0"/>
      <w:divBdr>
        <w:top w:val="none" w:sz="0" w:space="0" w:color="auto"/>
        <w:left w:val="none" w:sz="0" w:space="0" w:color="auto"/>
        <w:bottom w:val="none" w:sz="0" w:space="0" w:color="auto"/>
        <w:right w:val="none" w:sz="0" w:space="0" w:color="auto"/>
      </w:divBdr>
    </w:div>
    <w:div w:id="1789930098">
      <w:bodyDiv w:val="1"/>
      <w:marLeft w:val="0"/>
      <w:marRight w:val="0"/>
      <w:marTop w:val="0"/>
      <w:marBottom w:val="0"/>
      <w:divBdr>
        <w:top w:val="none" w:sz="0" w:space="0" w:color="auto"/>
        <w:left w:val="none" w:sz="0" w:space="0" w:color="auto"/>
        <w:bottom w:val="none" w:sz="0" w:space="0" w:color="auto"/>
        <w:right w:val="none" w:sz="0" w:space="0" w:color="auto"/>
      </w:divBdr>
    </w:div>
    <w:div w:id="1813592609">
      <w:bodyDiv w:val="1"/>
      <w:marLeft w:val="0"/>
      <w:marRight w:val="0"/>
      <w:marTop w:val="0"/>
      <w:marBottom w:val="0"/>
      <w:divBdr>
        <w:top w:val="none" w:sz="0" w:space="0" w:color="auto"/>
        <w:left w:val="none" w:sz="0" w:space="0" w:color="auto"/>
        <w:bottom w:val="none" w:sz="0" w:space="0" w:color="auto"/>
        <w:right w:val="none" w:sz="0" w:space="0" w:color="auto"/>
      </w:divBdr>
    </w:div>
    <w:div w:id="1840844895">
      <w:bodyDiv w:val="1"/>
      <w:marLeft w:val="0"/>
      <w:marRight w:val="0"/>
      <w:marTop w:val="0"/>
      <w:marBottom w:val="0"/>
      <w:divBdr>
        <w:top w:val="none" w:sz="0" w:space="0" w:color="auto"/>
        <w:left w:val="none" w:sz="0" w:space="0" w:color="auto"/>
        <w:bottom w:val="none" w:sz="0" w:space="0" w:color="auto"/>
        <w:right w:val="none" w:sz="0" w:space="0" w:color="auto"/>
      </w:divBdr>
    </w:div>
    <w:div w:id="1863977990">
      <w:bodyDiv w:val="1"/>
      <w:marLeft w:val="0"/>
      <w:marRight w:val="0"/>
      <w:marTop w:val="0"/>
      <w:marBottom w:val="0"/>
      <w:divBdr>
        <w:top w:val="none" w:sz="0" w:space="0" w:color="auto"/>
        <w:left w:val="none" w:sz="0" w:space="0" w:color="auto"/>
        <w:bottom w:val="none" w:sz="0" w:space="0" w:color="auto"/>
        <w:right w:val="none" w:sz="0" w:space="0" w:color="auto"/>
      </w:divBdr>
    </w:div>
    <w:div w:id="1864709991">
      <w:bodyDiv w:val="1"/>
      <w:marLeft w:val="0"/>
      <w:marRight w:val="0"/>
      <w:marTop w:val="0"/>
      <w:marBottom w:val="0"/>
      <w:divBdr>
        <w:top w:val="none" w:sz="0" w:space="0" w:color="auto"/>
        <w:left w:val="none" w:sz="0" w:space="0" w:color="auto"/>
        <w:bottom w:val="none" w:sz="0" w:space="0" w:color="auto"/>
        <w:right w:val="none" w:sz="0" w:space="0" w:color="auto"/>
      </w:divBdr>
    </w:div>
    <w:div w:id="2037347484">
      <w:bodyDiv w:val="1"/>
      <w:marLeft w:val="0"/>
      <w:marRight w:val="0"/>
      <w:marTop w:val="0"/>
      <w:marBottom w:val="0"/>
      <w:divBdr>
        <w:top w:val="none" w:sz="0" w:space="0" w:color="auto"/>
        <w:left w:val="none" w:sz="0" w:space="0" w:color="auto"/>
        <w:bottom w:val="none" w:sz="0" w:space="0" w:color="auto"/>
        <w:right w:val="none" w:sz="0" w:space="0" w:color="auto"/>
      </w:divBdr>
      <w:divsChild>
        <w:div w:id="502621701">
          <w:marLeft w:val="0"/>
          <w:marRight w:val="0"/>
          <w:marTop w:val="0"/>
          <w:marBottom w:val="0"/>
          <w:divBdr>
            <w:top w:val="none" w:sz="0" w:space="0" w:color="auto"/>
            <w:left w:val="none" w:sz="0" w:space="0" w:color="auto"/>
            <w:bottom w:val="none" w:sz="0" w:space="0" w:color="auto"/>
            <w:right w:val="none" w:sz="0" w:space="0" w:color="auto"/>
          </w:divBdr>
        </w:div>
        <w:div w:id="1724206791">
          <w:marLeft w:val="0"/>
          <w:marRight w:val="0"/>
          <w:marTop w:val="0"/>
          <w:marBottom w:val="0"/>
          <w:divBdr>
            <w:top w:val="none" w:sz="0" w:space="0" w:color="auto"/>
            <w:left w:val="none" w:sz="0" w:space="0" w:color="auto"/>
            <w:bottom w:val="none" w:sz="0" w:space="0" w:color="auto"/>
            <w:right w:val="none" w:sz="0" w:space="0" w:color="auto"/>
          </w:divBdr>
        </w:div>
        <w:div w:id="904875355">
          <w:marLeft w:val="0"/>
          <w:marRight w:val="0"/>
          <w:marTop w:val="0"/>
          <w:marBottom w:val="0"/>
          <w:divBdr>
            <w:top w:val="none" w:sz="0" w:space="0" w:color="auto"/>
            <w:left w:val="none" w:sz="0" w:space="0" w:color="auto"/>
            <w:bottom w:val="none" w:sz="0" w:space="0" w:color="auto"/>
            <w:right w:val="none" w:sz="0" w:space="0" w:color="auto"/>
          </w:divBdr>
        </w:div>
        <w:div w:id="839927113">
          <w:marLeft w:val="0"/>
          <w:marRight w:val="0"/>
          <w:marTop w:val="0"/>
          <w:marBottom w:val="0"/>
          <w:divBdr>
            <w:top w:val="none" w:sz="0" w:space="0" w:color="auto"/>
            <w:left w:val="none" w:sz="0" w:space="0" w:color="auto"/>
            <w:bottom w:val="none" w:sz="0" w:space="0" w:color="auto"/>
            <w:right w:val="none" w:sz="0" w:space="0" w:color="auto"/>
          </w:divBdr>
        </w:div>
        <w:div w:id="823594126">
          <w:marLeft w:val="0"/>
          <w:marRight w:val="0"/>
          <w:marTop w:val="0"/>
          <w:marBottom w:val="0"/>
          <w:divBdr>
            <w:top w:val="none" w:sz="0" w:space="0" w:color="auto"/>
            <w:left w:val="none" w:sz="0" w:space="0" w:color="auto"/>
            <w:bottom w:val="none" w:sz="0" w:space="0" w:color="auto"/>
            <w:right w:val="none" w:sz="0" w:space="0" w:color="auto"/>
          </w:divBdr>
        </w:div>
        <w:div w:id="1597057910">
          <w:marLeft w:val="0"/>
          <w:marRight w:val="0"/>
          <w:marTop w:val="0"/>
          <w:marBottom w:val="0"/>
          <w:divBdr>
            <w:top w:val="none" w:sz="0" w:space="0" w:color="auto"/>
            <w:left w:val="none" w:sz="0" w:space="0" w:color="auto"/>
            <w:bottom w:val="none" w:sz="0" w:space="0" w:color="auto"/>
            <w:right w:val="none" w:sz="0" w:space="0" w:color="auto"/>
          </w:divBdr>
          <w:divsChild>
            <w:div w:id="779419753">
              <w:marLeft w:val="0"/>
              <w:marRight w:val="0"/>
              <w:marTop w:val="0"/>
              <w:marBottom w:val="0"/>
              <w:divBdr>
                <w:top w:val="none" w:sz="0" w:space="0" w:color="auto"/>
                <w:left w:val="none" w:sz="0" w:space="0" w:color="auto"/>
                <w:bottom w:val="none" w:sz="0" w:space="0" w:color="auto"/>
                <w:right w:val="none" w:sz="0" w:space="0" w:color="auto"/>
              </w:divBdr>
            </w:div>
            <w:div w:id="909581758">
              <w:marLeft w:val="0"/>
              <w:marRight w:val="0"/>
              <w:marTop w:val="0"/>
              <w:marBottom w:val="0"/>
              <w:divBdr>
                <w:top w:val="none" w:sz="0" w:space="0" w:color="auto"/>
                <w:left w:val="none" w:sz="0" w:space="0" w:color="auto"/>
                <w:bottom w:val="none" w:sz="0" w:space="0" w:color="auto"/>
                <w:right w:val="none" w:sz="0" w:space="0" w:color="auto"/>
              </w:divBdr>
            </w:div>
            <w:div w:id="34888041">
              <w:marLeft w:val="0"/>
              <w:marRight w:val="0"/>
              <w:marTop w:val="0"/>
              <w:marBottom w:val="0"/>
              <w:divBdr>
                <w:top w:val="none" w:sz="0" w:space="0" w:color="auto"/>
                <w:left w:val="none" w:sz="0" w:space="0" w:color="auto"/>
                <w:bottom w:val="none" w:sz="0" w:space="0" w:color="auto"/>
                <w:right w:val="none" w:sz="0" w:space="0" w:color="auto"/>
              </w:divBdr>
            </w:div>
            <w:div w:id="961228330">
              <w:marLeft w:val="0"/>
              <w:marRight w:val="0"/>
              <w:marTop w:val="0"/>
              <w:marBottom w:val="0"/>
              <w:divBdr>
                <w:top w:val="none" w:sz="0" w:space="0" w:color="auto"/>
                <w:left w:val="none" w:sz="0" w:space="0" w:color="auto"/>
                <w:bottom w:val="none" w:sz="0" w:space="0" w:color="auto"/>
                <w:right w:val="none" w:sz="0" w:space="0" w:color="auto"/>
              </w:divBdr>
            </w:div>
            <w:div w:id="701176586">
              <w:marLeft w:val="0"/>
              <w:marRight w:val="0"/>
              <w:marTop w:val="0"/>
              <w:marBottom w:val="0"/>
              <w:divBdr>
                <w:top w:val="none" w:sz="0" w:space="0" w:color="auto"/>
                <w:left w:val="none" w:sz="0" w:space="0" w:color="auto"/>
                <w:bottom w:val="none" w:sz="0" w:space="0" w:color="auto"/>
                <w:right w:val="none" w:sz="0" w:space="0" w:color="auto"/>
              </w:divBdr>
            </w:div>
          </w:divsChild>
        </w:div>
        <w:div w:id="1341471682">
          <w:marLeft w:val="0"/>
          <w:marRight w:val="0"/>
          <w:marTop w:val="0"/>
          <w:marBottom w:val="0"/>
          <w:divBdr>
            <w:top w:val="none" w:sz="0" w:space="0" w:color="auto"/>
            <w:left w:val="none" w:sz="0" w:space="0" w:color="auto"/>
            <w:bottom w:val="none" w:sz="0" w:space="0" w:color="auto"/>
            <w:right w:val="none" w:sz="0" w:space="0" w:color="auto"/>
          </w:divBdr>
        </w:div>
        <w:div w:id="566646946">
          <w:marLeft w:val="0"/>
          <w:marRight w:val="0"/>
          <w:marTop w:val="0"/>
          <w:marBottom w:val="0"/>
          <w:divBdr>
            <w:top w:val="none" w:sz="0" w:space="0" w:color="auto"/>
            <w:left w:val="none" w:sz="0" w:space="0" w:color="auto"/>
            <w:bottom w:val="none" w:sz="0" w:space="0" w:color="auto"/>
            <w:right w:val="none" w:sz="0" w:space="0" w:color="auto"/>
          </w:divBdr>
        </w:div>
        <w:div w:id="1699355899">
          <w:marLeft w:val="0"/>
          <w:marRight w:val="0"/>
          <w:marTop w:val="0"/>
          <w:marBottom w:val="0"/>
          <w:divBdr>
            <w:top w:val="none" w:sz="0" w:space="0" w:color="auto"/>
            <w:left w:val="none" w:sz="0" w:space="0" w:color="auto"/>
            <w:bottom w:val="none" w:sz="0" w:space="0" w:color="auto"/>
            <w:right w:val="none" w:sz="0" w:space="0" w:color="auto"/>
          </w:divBdr>
        </w:div>
        <w:div w:id="1745881130">
          <w:marLeft w:val="0"/>
          <w:marRight w:val="0"/>
          <w:marTop w:val="0"/>
          <w:marBottom w:val="0"/>
          <w:divBdr>
            <w:top w:val="none" w:sz="0" w:space="0" w:color="auto"/>
            <w:left w:val="none" w:sz="0" w:space="0" w:color="auto"/>
            <w:bottom w:val="none" w:sz="0" w:space="0" w:color="auto"/>
            <w:right w:val="none" w:sz="0" w:space="0" w:color="auto"/>
          </w:divBdr>
        </w:div>
        <w:div w:id="936986065">
          <w:marLeft w:val="0"/>
          <w:marRight w:val="0"/>
          <w:marTop w:val="0"/>
          <w:marBottom w:val="0"/>
          <w:divBdr>
            <w:top w:val="none" w:sz="0" w:space="0" w:color="auto"/>
            <w:left w:val="none" w:sz="0" w:space="0" w:color="auto"/>
            <w:bottom w:val="none" w:sz="0" w:space="0" w:color="auto"/>
            <w:right w:val="none" w:sz="0" w:space="0" w:color="auto"/>
          </w:divBdr>
        </w:div>
        <w:div w:id="2132355370">
          <w:marLeft w:val="0"/>
          <w:marRight w:val="0"/>
          <w:marTop w:val="0"/>
          <w:marBottom w:val="0"/>
          <w:divBdr>
            <w:top w:val="none" w:sz="0" w:space="0" w:color="auto"/>
            <w:left w:val="none" w:sz="0" w:space="0" w:color="auto"/>
            <w:bottom w:val="none" w:sz="0" w:space="0" w:color="auto"/>
            <w:right w:val="none" w:sz="0" w:space="0" w:color="auto"/>
          </w:divBdr>
        </w:div>
        <w:div w:id="1196622154">
          <w:marLeft w:val="0"/>
          <w:marRight w:val="0"/>
          <w:marTop w:val="0"/>
          <w:marBottom w:val="0"/>
          <w:divBdr>
            <w:top w:val="none" w:sz="0" w:space="0" w:color="auto"/>
            <w:left w:val="none" w:sz="0" w:space="0" w:color="auto"/>
            <w:bottom w:val="none" w:sz="0" w:space="0" w:color="auto"/>
            <w:right w:val="none" w:sz="0" w:space="0" w:color="auto"/>
          </w:divBdr>
        </w:div>
      </w:divsChild>
    </w:div>
    <w:div w:id="2080908669">
      <w:bodyDiv w:val="1"/>
      <w:marLeft w:val="0"/>
      <w:marRight w:val="0"/>
      <w:marTop w:val="0"/>
      <w:marBottom w:val="0"/>
      <w:divBdr>
        <w:top w:val="none" w:sz="0" w:space="0" w:color="auto"/>
        <w:left w:val="none" w:sz="0" w:space="0" w:color="auto"/>
        <w:bottom w:val="none" w:sz="0" w:space="0" w:color="auto"/>
        <w:right w:val="none" w:sz="0" w:space="0" w:color="auto"/>
      </w:divBdr>
      <w:divsChild>
        <w:div w:id="1833792039">
          <w:marLeft w:val="0"/>
          <w:marRight w:val="0"/>
          <w:marTop w:val="0"/>
          <w:marBottom w:val="0"/>
          <w:divBdr>
            <w:top w:val="none" w:sz="0" w:space="0" w:color="auto"/>
            <w:left w:val="none" w:sz="0" w:space="0" w:color="auto"/>
            <w:bottom w:val="none" w:sz="0" w:space="0" w:color="auto"/>
            <w:right w:val="none" w:sz="0" w:space="0" w:color="auto"/>
          </w:divBdr>
          <w:divsChild>
            <w:div w:id="1511143333">
              <w:marLeft w:val="0"/>
              <w:marRight w:val="0"/>
              <w:marTop w:val="0"/>
              <w:marBottom w:val="0"/>
              <w:divBdr>
                <w:top w:val="none" w:sz="0" w:space="0" w:color="auto"/>
                <w:left w:val="none" w:sz="0" w:space="0" w:color="auto"/>
                <w:bottom w:val="none" w:sz="0" w:space="0" w:color="auto"/>
                <w:right w:val="none" w:sz="0" w:space="0" w:color="auto"/>
              </w:divBdr>
            </w:div>
            <w:div w:id="1184439577">
              <w:marLeft w:val="0"/>
              <w:marRight w:val="0"/>
              <w:marTop w:val="0"/>
              <w:marBottom w:val="0"/>
              <w:divBdr>
                <w:top w:val="none" w:sz="0" w:space="0" w:color="auto"/>
                <w:left w:val="none" w:sz="0" w:space="0" w:color="auto"/>
                <w:bottom w:val="none" w:sz="0" w:space="0" w:color="auto"/>
                <w:right w:val="none" w:sz="0" w:space="0" w:color="auto"/>
              </w:divBdr>
            </w:div>
            <w:div w:id="66928526">
              <w:marLeft w:val="0"/>
              <w:marRight w:val="0"/>
              <w:marTop w:val="0"/>
              <w:marBottom w:val="0"/>
              <w:divBdr>
                <w:top w:val="none" w:sz="0" w:space="0" w:color="auto"/>
                <w:left w:val="none" w:sz="0" w:space="0" w:color="auto"/>
                <w:bottom w:val="none" w:sz="0" w:space="0" w:color="auto"/>
                <w:right w:val="none" w:sz="0" w:space="0" w:color="auto"/>
              </w:divBdr>
            </w:div>
            <w:div w:id="898055028">
              <w:marLeft w:val="0"/>
              <w:marRight w:val="0"/>
              <w:marTop w:val="0"/>
              <w:marBottom w:val="0"/>
              <w:divBdr>
                <w:top w:val="none" w:sz="0" w:space="0" w:color="auto"/>
                <w:left w:val="none" w:sz="0" w:space="0" w:color="auto"/>
                <w:bottom w:val="none" w:sz="0" w:space="0" w:color="auto"/>
                <w:right w:val="none" w:sz="0" w:space="0" w:color="auto"/>
              </w:divBdr>
            </w:div>
            <w:div w:id="1829707524">
              <w:marLeft w:val="0"/>
              <w:marRight w:val="0"/>
              <w:marTop w:val="0"/>
              <w:marBottom w:val="0"/>
              <w:divBdr>
                <w:top w:val="none" w:sz="0" w:space="0" w:color="auto"/>
                <w:left w:val="none" w:sz="0" w:space="0" w:color="auto"/>
                <w:bottom w:val="none" w:sz="0" w:space="0" w:color="auto"/>
                <w:right w:val="none" w:sz="0" w:space="0" w:color="auto"/>
              </w:divBdr>
            </w:div>
          </w:divsChild>
        </w:div>
        <w:div w:id="1928928398">
          <w:marLeft w:val="0"/>
          <w:marRight w:val="0"/>
          <w:marTop w:val="0"/>
          <w:marBottom w:val="0"/>
          <w:divBdr>
            <w:top w:val="none" w:sz="0" w:space="0" w:color="auto"/>
            <w:left w:val="none" w:sz="0" w:space="0" w:color="auto"/>
            <w:bottom w:val="none" w:sz="0" w:space="0" w:color="auto"/>
            <w:right w:val="none" w:sz="0" w:space="0" w:color="auto"/>
          </w:divBdr>
        </w:div>
        <w:div w:id="148252384">
          <w:marLeft w:val="0"/>
          <w:marRight w:val="0"/>
          <w:marTop w:val="0"/>
          <w:marBottom w:val="0"/>
          <w:divBdr>
            <w:top w:val="none" w:sz="0" w:space="0" w:color="auto"/>
            <w:left w:val="none" w:sz="0" w:space="0" w:color="auto"/>
            <w:bottom w:val="none" w:sz="0" w:space="0" w:color="auto"/>
            <w:right w:val="none" w:sz="0" w:space="0" w:color="auto"/>
          </w:divBdr>
        </w:div>
        <w:div w:id="1669360681">
          <w:marLeft w:val="0"/>
          <w:marRight w:val="0"/>
          <w:marTop w:val="0"/>
          <w:marBottom w:val="0"/>
          <w:divBdr>
            <w:top w:val="none" w:sz="0" w:space="0" w:color="auto"/>
            <w:left w:val="none" w:sz="0" w:space="0" w:color="auto"/>
            <w:bottom w:val="none" w:sz="0" w:space="0" w:color="auto"/>
            <w:right w:val="none" w:sz="0" w:space="0" w:color="auto"/>
          </w:divBdr>
        </w:div>
        <w:div w:id="425738014">
          <w:marLeft w:val="0"/>
          <w:marRight w:val="0"/>
          <w:marTop w:val="0"/>
          <w:marBottom w:val="0"/>
          <w:divBdr>
            <w:top w:val="none" w:sz="0" w:space="0" w:color="auto"/>
            <w:left w:val="none" w:sz="0" w:space="0" w:color="auto"/>
            <w:bottom w:val="none" w:sz="0" w:space="0" w:color="auto"/>
            <w:right w:val="none" w:sz="0" w:space="0" w:color="auto"/>
          </w:divBdr>
        </w:div>
      </w:divsChild>
    </w:div>
    <w:div w:id="2109153281">
      <w:bodyDiv w:val="1"/>
      <w:marLeft w:val="0"/>
      <w:marRight w:val="0"/>
      <w:marTop w:val="0"/>
      <w:marBottom w:val="0"/>
      <w:divBdr>
        <w:top w:val="none" w:sz="0" w:space="0" w:color="auto"/>
        <w:left w:val="none" w:sz="0" w:space="0" w:color="auto"/>
        <w:bottom w:val="none" w:sz="0" w:space="0" w:color="auto"/>
        <w:right w:val="none" w:sz="0" w:space="0" w:color="auto"/>
      </w:divBdr>
      <w:divsChild>
        <w:div w:id="235550777">
          <w:marLeft w:val="0"/>
          <w:marRight w:val="0"/>
          <w:marTop w:val="0"/>
          <w:marBottom w:val="0"/>
          <w:divBdr>
            <w:top w:val="none" w:sz="0" w:space="0" w:color="auto"/>
            <w:left w:val="none" w:sz="0" w:space="0" w:color="auto"/>
            <w:bottom w:val="none" w:sz="0" w:space="0" w:color="auto"/>
            <w:right w:val="none" w:sz="0" w:space="0" w:color="auto"/>
          </w:divBdr>
          <w:divsChild>
            <w:div w:id="1683700993">
              <w:marLeft w:val="0"/>
              <w:marRight w:val="0"/>
              <w:marTop w:val="0"/>
              <w:marBottom w:val="0"/>
              <w:divBdr>
                <w:top w:val="none" w:sz="0" w:space="0" w:color="auto"/>
                <w:left w:val="none" w:sz="0" w:space="0" w:color="auto"/>
                <w:bottom w:val="none" w:sz="0" w:space="0" w:color="auto"/>
                <w:right w:val="none" w:sz="0" w:space="0" w:color="auto"/>
              </w:divBdr>
            </w:div>
            <w:div w:id="1556237379">
              <w:marLeft w:val="0"/>
              <w:marRight w:val="0"/>
              <w:marTop w:val="0"/>
              <w:marBottom w:val="0"/>
              <w:divBdr>
                <w:top w:val="none" w:sz="0" w:space="0" w:color="auto"/>
                <w:left w:val="none" w:sz="0" w:space="0" w:color="auto"/>
                <w:bottom w:val="none" w:sz="0" w:space="0" w:color="auto"/>
                <w:right w:val="none" w:sz="0" w:space="0" w:color="auto"/>
              </w:divBdr>
            </w:div>
            <w:div w:id="1510213655">
              <w:marLeft w:val="0"/>
              <w:marRight w:val="0"/>
              <w:marTop w:val="0"/>
              <w:marBottom w:val="0"/>
              <w:divBdr>
                <w:top w:val="none" w:sz="0" w:space="0" w:color="auto"/>
                <w:left w:val="none" w:sz="0" w:space="0" w:color="auto"/>
                <w:bottom w:val="none" w:sz="0" w:space="0" w:color="auto"/>
                <w:right w:val="none" w:sz="0" w:space="0" w:color="auto"/>
              </w:divBdr>
            </w:div>
            <w:div w:id="1373000743">
              <w:marLeft w:val="0"/>
              <w:marRight w:val="0"/>
              <w:marTop w:val="0"/>
              <w:marBottom w:val="0"/>
              <w:divBdr>
                <w:top w:val="none" w:sz="0" w:space="0" w:color="auto"/>
                <w:left w:val="none" w:sz="0" w:space="0" w:color="auto"/>
                <w:bottom w:val="none" w:sz="0" w:space="0" w:color="auto"/>
                <w:right w:val="none" w:sz="0" w:space="0" w:color="auto"/>
              </w:divBdr>
            </w:div>
            <w:div w:id="71245293">
              <w:marLeft w:val="0"/>
              <w:marRight w:val="0"/>
              <w:marTop w:val="0"/>
              <w:marBottom w:val="0"/>
              <w:divBdr>
                <w:top w:val="none" w:sz="0" w:space="0" w:color="auto"/>
                <w:left w:val="none" w:sz="0" w:space="0" w:color="auto"/>
                <w:bottom w:val="none" w:sz="0" w:space="0" w:color="auto"/>
                <w:right w:val="none" w:sz="0" w:space="0" w:color="auto"/>
              </w:divBdr>
            </w:div>
          </w:divsChild>
        </w:div>
        <w:div w:id="1998070578">
          <w:marLeft w:val="0"/>
          <w:marRight w:val="0"/>
          <w:marTop w:val="0"/>
          <w:marBottom w:val="0"/>
          <w:divBdr>
            <w:top w:val="none" w:sz="0" w:space="0" w:color="auto"/>
            <w:left w:val="none" w:sz="0" w:space="0" w:color="auto"/>
            <w:bottom w:val="none" w:sz="0" w:space="0" w:color="auto"/>
            <w:right w:val="none" w:sz="0" w:space="0" w:color="auto"/>
          </w:divBdr>
        </w:div>
        <w:div w:id="1057555582">
          <w:marLeft w:val="0"/>
          <w:marRight w:val="0"/>
          <w:marTop w:val="0"/>
          <w:marBottom w:val="0"/>
          <w:divBdr>
            <w:top w:val="none" w:sz="0" w:space="0" w:color="auto"/>
            <w:left w:val="none" w:sz="0" w:space="0" w:color="auto"/>
            <w:bottom w:val="none" w:sz="0" w:space="0" w:color="auto"/>
            <w:right w:val="none" w:sz="0" w:space="0" w:color="auto"/>
          </w:divBdr>
        </w:div>
        <w:div w:id="1897932313">
          <w:marLeft w:val="0"/>
          <w:marRight w:val="0"/>
          <w:marTop w:val="0"/>
          <w:marBottom w:val="0"/>
          <w:divBdr>
            <w:top w:val="none" w:sz="0" w:space="0" w:color="auto"/>
            <w:left w:val="none" w:sz="0" w:space="0" w:color="auto"/>
            <w:bottom w:val="none" w:sz="0" w:space="0" w:color="auto"/>
            <w:right w:val="none" w:sz="0" w:space="0" w:color="auto"/>
          </w:divBdr>
        </w:div>
        <w:div w:id="475535467">
          <w:marLeft w:val="0"/>
          <w:marRight w:val="0"/>
          <w:marTop w:val="0"/>
          <w:marBottom w:val="0"/>
          <w:divBdr>
            <w:top w:val="none" w:sz="0" w:space="0" w:color="auto"/>
            <w:left w:val="none" w:sz="0" w:space="0" w:color="auto"/>
            <w:bottom w:val="none" w:sz="0" w:space="0" w:color="auto"/>
            <w:right w:val="none" w:sz="0" w:space="0" w:color="auto"/>
          </w:divBdr>
        </w:div>
        <w:div w:id="1647709615">
          <w:marLeft w:val="0"/>
          <w:marRight w:val="0"/>
          <w:marTop w:val="0"/>
          <w:marBottom w:val="0"/>
          <w:divBdr>
            <w:top w:val="none" w:sz="0" w:space="0" w:color="auto"/>
            <w:left w:val="none" w:sz="0" w:space="0" w:color="auto"/>
            <w:bottom w:val="none" w:sz="0" w:space="0" w:color="auto"/>
            <w:right w:val="none" w:sz="0" w:space="0" w:color="auto"/>
          </w:divBdr>
        </w:div>
      </w:divsChild>
    </w:div>
    <w:div w:id="2110008838">
      <w:bodyDiv w:val="1"/>
      <w:marLeft w:val="0"/>
      <w:marRight w:val="0"/>
      <w:marTop w:val="0"/>
      <w:marBottom w:val="0"/>
      <w:divBdr>
        <w:top w:val="none" w:sz="0" w:space="0" w:color="auto"/>
        <w:left w:val="none" w:sz="0" w:space="0" w:color="auto"/>
        <w:bottom w:val="none" w:sz="0" w:space="0" w:color="auto"/>
        <w:right w:val="none" w:sz="0" w:space="0" w:color="auto"/>
      </w:divBdr>
    </w:div>
    <w:div w:id="2144304211">
      <w:bodyDiv w:val="1"/>
      <w:marLeft w:val="0"/>
      <w:marRight w:val="0"/>
      <w:marTop w:val="0"/>
      <w:marBottom w:val="0"/>
      <w:divBdr>
        <w:top w:val="none" w:sz="0" w:space="0" w:color="auto"/>
        <w:left w:val="none" w:sz="0" w:space="0" w:color="auto"/>
        <w:bottom w:val="none" w:sz="0" w:space="0" w:color="auto"/>
        <w:right w:val="none" w:sz="0" w:space="0" w:color="auto"/>
      </w:divBdr>
      <w:divsChild>
        <w:div w:id="826824605">
          <w:marLeft w:val="0"/>
          <w:marRight w:val="0"/>
          <w:marTop w:val="0"/>
          <w:marBottom w:val="0"/>
          <w:divBdr>
            <w:top w:val="none" w:sz="0" w:space="0" w:color="auto"/>
            <w:left w:val="none" w:sz="0" w:space="0" w:color="auto"/>
            <w:bottom w:val="none" w:sz="0" w:space="0" w:color="auto"/>
            <w:right w:val="none" w:sz="0" w:space="0" w:color="auto"/>
          </w:divBdr>
        </w:div>
        <w:div w:id="1039404040">
          <w:marLeft w:val="0"/>
          <w:marRight w:val="0"/>
          <w:marTop w:val="0"/>
          <w:marBottom w:val="0"/>
          <w:divBdr>
            <w:top w:val="none" w:sz="0" w:space="0" w:color="auto"/>
            <w:left w:val="none" w:sz="0" w:space="0" w:color="auto"/>
            <w:bottom w:val="none" w:sz="0" w:space="0" w:color="auto"/>
            <w:right w:val="none" w:sz="0" w:space="0" w:color="auto"/>
          </w:divBdr>
        </w:div>
        <w:div w:id="431783814">
          <w:marLeft w:val="0"/>
          <w:marRight w:val="0"/>
          <w:marTop w:val="0"/>
          <w:marBottom w:val="0"/>
          <w:divBdr>
            <w:top w:val="none" w:sz="0" w:space="0" w:color="auto"/>
            <w:left w:val="none" w:sz="0" w:space="0" w:color="auto"/>
            <w:bottom w:val="none" w:sz="0" w:space="0" w:color="auto"/>
            <w:right w:val="none" w:sz="0" w:space="0" w:color="auto"/>
          </w:divBdr>
        </w:div>
        <w:div w:id="1686403370">
          <w:marLeft w:val="0"/>
          <w:marRight w:val="0"/>
          <w:marTop w:val="0"/>
          <w:marBottom w:val="0"/>
          <w:divBdr>
            <w:top w:val="none" w:sz="0" w:space="0" w:color="auto"/>
            <w:left w:val="none" w:sz="0" w:space="0" w:color="auto"/>
            <w:bottom w:val="none" w:sz="0" w:space="0" w:color="auto"/>
            <w:right w:val="none" w:sz="0" w:space="0" w:color="auto"/>
          </w:divBdr>
        </w:div>
        <w:div w:id="1728256974">
          <w:marLeft w:val="0"/>
          <w:marRight w:val="0"/>
          <w:marTop w:val="0"/>
          <w:marBottom w:val="0"/>
          <w:divBdr>
            <w:top w:val="none" w:sz="0" w:space="0" w:color="auto"/>
            <w:left w:val="none" w:sz="0" w:space="0" w:color="auto"/>
            <w:bottom w:val="none" w:sz="0" w:space="0" w:color="auto"/>
            <w:right w:val="none" w:sz="0" w:space="0" w:color="auto"/>
          </w:divBdr>
        </w:div>
        <w:div w:id="963392040">
          <w:marLeft w:val="0"/>
          <w:marRight w:val="0"/>
          <w:marTop w:val="0"/>
          <w:marBottom w:val="0"/>
          <w:divBdr>
            <w:top w:val="none" w:sz="0" w:space="0" w:color="auto"/>
            <w:left w:val="none" w:sz="0" w:space="0" w:color="auto"/>
            <w:bottom w:val="none" w:sz="0" w:space="0" w:color="auto"/>
            <w:right w:val="none" w:sz="0" w:space="0" w:color="auto"/>
          </w:divBdr>
        </w:div>
        <w:div w:id="917980262">
          <w:marLeft w:val="0"/>
          <w:marRight w:val="0"/>
          <w:marTop w:val="0"/>
          <w:marBottom w:val="0"/>
          <w:divBdr>
            <w:top w:val="none" w:sz="0" w:space="0" w:color="auto"/>
            <w:left w:val="none" w:sz="0" w:space="0" w:color="auto"/>
            <w:bottom w:val="none" w:sz="0" w:space="0" w:color="auto"/>
            <w:right w:val="none" w:sz="0" w:space="0" w:color="auto"/>
          </w:divBdr>
        </w:div>
        <w:div w:id="743991566">
          <w:marLeft w:val="0"/>
          <w:marRight w:val="0"/>
          <w:marTop w:val="0"/>
          <w:marBottom w:val="0"/>
          <w:divBdr>
            <w:top w:val="none" w:sz="0" w:space="0" w:color="auto"/>
            <w:left w:val="none" w:sz="0" w:space="0" w:color="auto"/>
            <w:bottom w:val="none" w:sz="0" w:space="0" w:color="auto"/>
            <w:right w:val="none" w:sz="0" w:space="0" w:color="auto"/>
          </w:divBdr>
        </w:div>
        <w:div w:id="1704477056">
          <w:marLeft w:val="0"/>
          <w:marRight w:val="0"/>
          <w:marTop w:val="0"/>
          <w:marBottom w:val="0"/>
          <w:divBdr>
            <w:top w:val="none" w:sz="0" w:space="0" w:color="auto"/>
            <w:left w:val="none" w:sz="0" w:space="0" w:color="auto"/>
            <w:bottom w:val="none" w:sz="0" w:space="0" w:color="auto"/>
            <w:right w:val="none" w:sz="0" w:space="0" w:color="auto"/>
          </w:divBdr>
        </w:div>
        <w:div w:id="153311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1.safelinks.protection.outlook.com/?url=https%3A%2F%2Furlsand.esvalabs.com%2F%3Fu%3Dhttps%253A%252F%252Fwww.normattiva.it%252Furi-res%252FN2Ls%253Furn%253Anir%253Astato%253Adecreto.legislativo%253A1997-08-28%253B281~art8%26e%3Ddcce0189%26h%3Da470144d%26f%3Dy%26p%3Dn&amp;data=05%7C01%7CMarco.Granelli%40comune.milano.it%7C97ac3c63bbf94009337c08dab80a3c7b%7Cca916905b31d4af583071ac286ef0b1e%7C0%7C0%7C638024651357491813%7CUnknown%7CTWFpbGZsb3d8eyJWIjoiMC4wLjAwMDAiLCJQIjoiV2luMzIiLCJBTiI6Ik1haWwiLCJXVCI6Mn0%3D%7C3000%7C%7C%7C&amp;sdata=3EMWi0cbXDAN4VVkQp%2ByXVqtFeWHGsm6Ic54KVpWXwQ%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eggiobilancio.mef.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urlsand.esvalabs.com%2F%3Fu%3Dhttps%253A%252F%252Fwww.normattiva.it%252Furi-res%252FN2Ls%253Furn%253Anir%253Astato%253Adecreto.legislativo%253A1997-08-28%253B281~art8%26e%3Ddcce0189%26h%3Da470144d%26f%3Dy%26p%3Dn&amp;data=05%7C01%7CMarco.Granelli%40comune.milano.it%7C97ac3c63bbf94009337c08dab80a3c7b%7Cca916905b31d4af583071ac286ef0b1e%7C0%7C0%7C638024651357491813%7CUnknown%7CTWFpbGZsb3d8eyJWIjoiMC4wLjAwMDAiLCJQIjoiV2luMzIiLCJBTiI6Ik1haWwiLCJXVCI6Mn0%3D%7C3000%7C%7C%7C&amp;sdata=3EMWi0cbXDAN4VVkQp%2ByXVqtFeWHGsm6Ic54KVpWXwQ%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01.safelinks.protection.outlook.com/?url=https%3A%2F%2Furlsand.esvalabs.com%2F%3Fu%3Dhttps%253A%252F%252Fwww.normattiva.it%252Furi-res%252FN2Ls%253Furn%253Anir%253Astato%253Adecreto.legislativo%253A1997-08-28%253B281~art8%26e%3Ddcce0189%26h%3Da470144d%26f%3Dy%26p%3Dn&amp;data=05%7C01%7CMarco.Granelli%40comune.milano.it%7C97ac3c63bbf94009337c08dab80a3c7b%7Cca916905b31d4af583071ac286ef0b1e%7C0%7C0%7C638024651357491813%7CUnknown%7CTWFpbGZsb3d8eyJWIjoiMC4wLjAwMDAiLCJQIjoiV2luMzIiLCJBTiI6Ik1haWwiLCJXVCI6Mn0%3D%7C3000%7C%7C%7C&amp;sdata=3EMWi0cbXDAN4VVkQp%2ByXVqtFeWHGsm6Ic54KVpWXwQ%3D&amp;reserved=0" TargetMode="External"/><Relationship Id="rId4" Type="http://schemas.openxmlformats.org/officeDocument/2006/relationships/settings" Target="settings.xml"/><Relationship Id="rId9" Type="http://schemas.openxmlformats.org/officeDocument/2006/relationships/hyperlink" Target="http://demo.istat.it/bil/index.php?anno=2019&amp;lingua=ita" TargetMode="External"/><Relationship Id="rId14" Type="http://schemas.openxmlformats.org/officeDocument/2006/relationships/hyperlink" Target="https://eur01.safelinks.protection.outlook.com/?url=https%3A%2F%2Furlsand.esvalabs.com%2F%3Fu%3Dhttps%253A%252F%252Fwww.normattiva.it%252Furi-res%252FN2Ls%253Furn%253Anir%253Astato%253Adecreto.legislativo%253A1997-08-28%253B281~art8%26e%3Ddcce0189%26h%3Da470144d%26f%3Dy%26p%3Dn&amp;data=05%7C01%7CMarco.Granelli%40comune.milano.it%7C97ac3c63bbf94009337c08dab80a3c7b%7Cca916905b31d4af583071ac286ef0b1e%7C0%7C0%7C638024651357491813%7CUnknown%7CTWFpbGZsb3d8eyJWIjoiMC4wLjAwMDAiLCJQIjoiV2luMzIiLCJBTiI6Ik1haWwiLCJXVCI6Mn0%3D%7C3000%7C%7C%7C&amp;sdata=3EMWi0cbXDAN4VVkQp%2ByXVqtFeWHGsm6Ic54KVpWXwQ%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FB19-5F39-4C94-A691-0911D92D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32015</Words>
  <Characters>182490</Characters>
  <Application>Microsoft Office Word</Application>
  <DocSecurity>4</DocSecurity>
  <Lines>1520</Lines>
  <Paragraphs>428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Claudia Polli</cp:lastModifiedBy>
  <cp:revision>2</cp:revision>
  <cp:lastPrinted>2022-12-02T13:47:00Z</cp:lastPrinted>
  <dcterms:created xsi:type="dcterms:W3CDTF">2022-12-07T10:18:00Z</dcterms:created>
  <dcterms:modified xsi:type="dcterms:W3CDTF">2022-12-07T10:18:00Z</dcterms:modified>
</cp:coreProperties>
</file>