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0" w:after="0" w:line="360"/>
        <w:ind w:right="0" w:left="0" w:firstLine="0"/>
        <w:jc w:val="center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0" w:after="0" w:line="360"/>
        <w:ind w:right="0" w:left="0" w:firstLine="0"/>
        <w:jc w:val="center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0" w:after="0" w:line="360"/>
        <w:ind w:right="0" w:left="0" w:firstLine="0"/>
        <w:jc w:val="center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2"/>
          <w:shd w:fill="auto" w:val="clear"/>
        </w:rPr>
      </w:pPr>
      <w:r>
        <w:object w:dxaOrig="936" w:dyaOrig="1396">
          <v:rect xmlns:o="urn:schemas-microsoft-com:office:office" xmlns:v="urn:schemas-microsoft-com:vml" id="rectole0000000000" style="width:46.800000pt;height:69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keepNext w:val="true"/>
        <w:keepLines w:val="true"/>
        <w:spacing w:before="0" w:after="0" w:line="360"/>
        <w:ind w:right="0" w:left="0" w:firstLine="0"/>
        <w:jc w:val="center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002060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002060"/>
          <w:spacing w:val="0"/>
          <w:position w:val="0"/>
          <w:sz w:val="22"/>
          <w:shd w:fill="auto" w:val="clear"/>
        </w:rPr>
        <w:t xml:space="preserve">D.L. AIUTI QUATER</w:t>
      </w:r>
    </w:p>
    <w:p>
      <w:pPr>
        <w:spacing w:before="0" w:after="0" w:line="36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Bookman Old Style" w:hAnsi="Bookman Old Style" w:cs="Bookman Old Style" w:eastAsia="Bookman Old Style"/>
          <w:b/>
          <w:color w:val="002060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002060"/>
          <w:spacing w:val="0"/>
          <w:position w:val="0"/>
          <w:sz w:val="22"/>
          <w:shd w:fill="auto" w:val="clear"/>
        </w:rPr>
        <w:t xml:space="preserve">Nota su soglia per affidamenti diretti di servizi e forniture a valere su risorse PNRR e PNC per Comuni non capoluogo </w:t>
      </w:r>
    </w:p>
    <w:p>
      <w:pPr>
        <w:spacing w:before="0" w:after="0" w:line="360"/>
        <w:ind w:right="0" w:left="0" w:firstLine="0"/>
        <w:jc w:val="center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Il Consiglio dei Ministri il 10 novembre u.s. ha approvato il cd </w:t>
      </w: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2"/>
          <w:shd w:fill="auto" w:val="clear"/>
        </w:rPr>
        <w:t xml:space="preserve">dl aiuti quater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 che deve essere ora pubblicato in Gazzetta Ufficiale. Si segnala che all’interno del provvedimento è contenuto l’art. 10 richiesto dall’ANCI in materia di procedure di affidamento di lavori, servizi e forniture. Si riporta di seguito la norma e un commento della stessa.</w:t>
      </w:r>
    </w:p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360" w:after="12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2"/>
          <w:shd w:fill="auto" w:val="clear"/>
        </w:rPr>
        <w:t xml:space="preserve">Art. 10</w:t>
        <w:br/>
        <w:t xml:space="preserve">(Norme in materia di procedure di affidamento dei lavori) 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1. All’articolo 1, comma 1, lettera a), del decreto-legge 18 aprile 2019, n. 32, convertito, con modificazioni, dalla legge 14 giugno 2019, n. 55, sono aggiunte, in fine, le seguenti parole: “L’obbligo di cui al periodo precedente per i comuni non capoluogo di provincia è da intendersi applicabile alle procedure il cui importo è pari o superiore alle soglie di cui all’articolo 1, comma 2, lettera a), del decreto-legge 16 luglio 2020, n. 76, convertito, con modificazioni, dalla legge 11 settembre 2020, n. 120”.</w:t>
      </w:r>
    </w:p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2. Alle stazioni appaltanti destinatarie di finanziamenti del PNRR o del PNC che, pur in possesso dei requisiti, non hanno avuto accesso al fondo di cui all’articolo 26, comma 7  e ss. del decreto   legge 50 del 2022 e non risultano beneficiarie delle preassegnazioni di cui all’articolo 29 del decreto-legge 144 del 2022 e dell’articolo 7 del DPCM 28 luglio 2022, ma che comunque hanno proceduto entro il termine del 31 dicembre 2022 all’avvio delle procedure di affidamento dei lavori ricorrendo a risorse diverse da quelle di cui al comma 6 del citato articolo 26 del decreto legge 50 del 2022 possono essere assegnati contributi, a valere sulle risorse residue disponibili al termine della procedura di assegnazione delle risorse del Fondo, finalizzati  a fronteggiare gli incrementi di costo derivanti dall’aggiornamento dei prezzari di cui ai commi 2 e 3 del medesimo articolo 26. All’attuazione del presente comma si provvede con decreto del Ministero dell’economia e delle finanze da adottare entro 60 giorni dall’entrata in vigore della presente disposizione.</w:t>
      </w:r>
    </w:p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2"/>
          <w:shd w:fill="auto" w:val="clear"/>
        </w:rPr>
        <w:t xml:space="preserve">Commento</w:t>
      </w:r>
    </w:p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La norma in commento viene incontro alle difficoltà segnalate dall’ANCI rispetto alla delicata questione degli affidamenti diretti per i Comuni per opere PNRR ed interviene sull’accesso ai contributi di cui al fondo opere indifferibili per gli enti rimasti esclusi dall’applicazione del DPCM del 28/7/2022. </w:t>
      </w:r>
    </w:p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Il primo comma riguarda i Comuni non Capoluogo per gli interventi PNRR e PNC e dispone che 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 come richiesto dall’ANCI - tali enti </w:t>
      </w: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2"/>
          <w:shd w:fill="auto" w:val="clear"/>
        </w:rPr>
        <w:t xml:space="preserve">possono compiere affidamenti diretti fino a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2"/>
          <w:shd w:fill="auto" w:val="clear"/>
        </w:rPr>
        <w:t xml:space="preserve">139.000 euro, per acquisti di servizi e forniture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. Per i medesimi Enti dunque, solo oltre tale soglia di acquisti di servizi e forniture, scatta l’obbligo di ricorrere alle aggregazioni (attraverso Centrali di committenza e Soggetti aggregatori; Unioni di Comuni, Consorzi e Associazioni; Province e Città Metropolitane; Comuni Capoluogo di Provincia). Per i lavori invece la soglia, oltre la quale scatta l’obbligo per i medesimi Enti di ricorrere alle aggregazioni, per gli affidamenti diretti e sempre per opere finanziate a valere su risorse del PNRR e del PNC, rimane invariata e fissata a 150.000 euro.</w:t>
      </w:r>
    </w:p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  <w:t xml:space="preserve">Il secondo comma, invece, consente alle stazioni appaltanti rimaste escluse dalla compensazione per la variazione dei prezzi dei materiali da costruzione, per opere PNRR e PNC (articolo 26, c. 7  del dl 50/2022), l’accesso ai contributi di cui al fondo per l’avvio delle opere indifferibili, regolato dal DPCM del 28/7/2022. La norma prevede che i contributi residuali rispetto alle richieste di accesso al fondo già pervenute, saranno destinati a finanziare le amministrazioni che sono in possesso dei requisiti richiesti dal DPCM stesso e che hanno provveduto ad avviare le procedure di affidamento dei lavori entro il 31 dicembre 2022. Molti comuni infatti avevano bandito le procedure di affidamento per interventi PNRR e PNC prima del 18/5/2022 (anche in adesione ad Accordi Quadro con Invitalia) - data a decorrere dalla quale, come previsto dal DPCM, potevano essere effettuate le richieste di accesso al fondo avvio opere indifferibili - nonché non risultano neppure beneficiari delle preassegnazioni previste dal dl 144/2021 che richiama interventi specifici del PNC.</w:t>
      </w:r>
    </w:p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Bookman Old Style" w:hAnsi="Bookman Old Style" w:cs="Bookman Old Style" w:eastAsia="Bookman Old Style"/>
          <w:i/>
          <w:color w:val="auto"/>
          <w:spacing w:val="0"/>
          <w:position w:val="0"/>
          <w:sz w:val="22"/>
          <w:shd w:fill="auto" w:val="clear"/>
        </w:rPr>
        <w:t xml:space="preserve">La disposizione apre quindi la possibilità di accedere al fondo in questione, ma rimanda le modalità operative ad un decreto del Ministero dell’economia e delle finanze da adottare entro 60 giorni dall’entrata in vigore del decreto legge.</w:t>
      </w:r>
    </w:p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