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806" w:rsidRPr="00FB607D" w:rsidRDefault="007C25F5" w:rsidP="007C25F5">
      <w:pPr>
        <w:spacing w:line="360" w:lineRule="auto"/>
        <w:jc w:val="center"/>
        <w:rPr>
          <w:rFonts w:ascii="Bookman Old Style" w:hAnsi="Bookman Old Style" w:cs="Times New Roman"/>
          <w:b/>
          <w:bCs/>
        </w:rPr>
      </w:pPr>
      <w:bookmarkStart w:id="0" w:name="_GoBack"/>
      <w:bookmarkEnd w:id="0"/>
      <w:r w:rsidRPr="00FB607D">
        <w:rPr>
          <w:rFonts w:ascii="Bookman Old Style" w:hAnsi="Bookman Old Style"/>
          <w:b/>
          <w:bCs/>
          <w:noProof/>
          <w:color w:val="222A35" w:themeColor="text2" w:themeShade="80"/>
          <w:lang w:eastAsia="it-IT"/>
        </w:rPr>
        <w:drawing>
          <wp:inline distT="0" distB="0" distL="0" distR="0" wp14:anchorId="4273A4C8" wp14:editId="69856F1C">
            <wp:extent cx="755230" cy="1098645"/>
            <wp:effectExtent l="0" t="0" r="6985" b="6350"/>
            <wp:docPr id="3076" name="Picture 5" descr="logo a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5" descr="logo anc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63" cy="1101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EE2" w:rsidRPr="00FB607D" w:rsidRDefault="00162EE2" w:rsidP="007C25F5">
      <w:pPr>
        <w:spacing w:line="360" w:lineRule="auto"/>
        <w:jc w:val="center"/>
        <w:rPr>
          <w:rFonts w:ascii="Bookman Old Style" w:hAnsi="Bookman Old Style" w:cs="Times New Roman"/>
          <w:b/>
          <w:bCs/>
        </w:rPr>
      </w:pPr>
    </w:p>
    <w:p w:rsidR="00162EE2" w:rsidRPr="00FB607D" w:rsidRDefault="002A10CB" w:rsidP="00162EE2">
      <w:pPr>
        <w:spacing w:line="360" w:lineRule="auto"/>
        <w:rPr>
          <w:rFonts w:ascii="Bookman Old Style" w:hAnsi="Bookman Old Style" w:cs="Times New Roman"/>
          <w:b/>
          <w:bCs/>
        </w:rPr>
      </w:pPr>
      <w:proofErr w:type="spellStart"/>
      <w:r>
        <w:rPr>
          <w:rFonts w:ascii="Bookman Old Style" w:hAnsi="Bookman Old Style" w:cs="Times New Roman"/>
          <w:b/>
          <w:bCs/>
        </w:rPr>
        <w:t>Prot</w:t>
      </w:r>
      <w:proofErr w:type="spellEnd"/>
      <w:r>
        <w:rPr>
          <w:rFonts w:ascii="Bookman Old Style" w:hAnsi="Bookman Old Style" w:cs="Times New Roman"/>
          <w:b/>
          <w:bCs/>
        </w:rPr>
        <w:t>. n.  78/VSG/SD/ad</w:t>
      </w:r>
      <w:r w:rsidR="00162EE2" w:rsidRPr="00FB607D">
        <w:rPr>
          <w:rFonts w:ascii="Bookman Old Style" w:hAnsi="Bookman Old Style" w:cs="Times New Roman"/>
          <w:b/>
          <w:bCs/>
        </w:rPr>
        <w:t xml:space="preserve"> </w:t>
      </w:r>
    </w:p>
    <w:p w:rsidR="00267504" w:rsidRPr="00FB607D" w:rsidRDefault="00267504" w:rsidP="00BB2471">
      <w:pPr>
        <w:spacing w:line="360" w:lineRule="auto"/>
        <w:rPr>
          <w:rFonts w:ascii="Bookman Old Style" w:hAnsi="Bookman Old Style" w:cs="Times New Roman"/>
          <w:b/>
          <w:bCs/>
        </w:rPr>
      </w:pPr>
    </w:p>
    <w:p w:rsidR="00A63658" w:rsidRPr="00FB607D" w:rsidRDefault="007F6164" w:rsidP="00FB6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Bookman Old Style" w:hAnsi="Bookman Old Style" w:cs="Times New Roman"/>
          <w:b/>
          <w:bCs/>
        </w:rPr>
      </w:pPr>
      <w:r w:rsidRPr="00FB607D">
        <w:rPr>
          <w:rFonts w:ascii="Bookman Old Style" w:hAnsi="Bookman Old Style" w:cs="Times New Roman"/>
          <w:b/>
          <w:bCs/>
        </w:rPr>
        <w:t xml:space="preserve">Nota informativa: </w:t>
      </w:r>
      <w:r w:rsidR="00A63658" w:rsidRPr="00FB607D">
        <w:rPr>
          <w:rFonts w:ascii="Bookman Old Style" w:hAnsi="Bookman Old Style" w:cs="Times New Roman"/>
          <w:b/>
          <w:bCs/>
        </w:rPr>
        <w:t>Precisazioni applicative del C</w:t>
      </w:r>
      <w:r w:rsidR="00BB583B" w:rsidRPr="00FB607D">
        <w:rPr>
          <w:rFonts w:ascii="Bookman Old Style" w:hAnsi="Bookman Old Style" w:cs="Times New Roman"/>
          <w:b/>
          <w:bCs/>
        </w:rPr>
        <w:t>onsiglio Superiore dei Lavori Pubblici (di seguito denominato C</w:t>
      </w:r>
      <w:r w:rsidR="00A63658" w:rsidRPr="00FB607D">
        <w:rPr>
          <w:rFonts w:ascii="Bookman Old Style" w:hAnsi="Bookman Old Style" w:cs="Times New Roman"/>
          <w:b/>
          <w:bCs/>
        </w:rPr>
        <w:t>SLP</w:t>
      </w:r>
      <w:r w:rsidR="00BB583B" w:rsidRPr="00FB607D">
        <w:rPr>
          <w:rFonts w:ascii="Bookman Old Style" w:hAnsi="Bookman Old Style" w:cs="Times New Roman"/>
          <w:b/>
          <w:bCs/>
        </w:rPr>
        <w:t>)</w:t>
      </w:r>
      <w:r w:rsidR="00A63658" w:rsidRPr="00FB607D">
        <w:rPr>
          <w:rFonts w:ascii="Bookman Old Style" w:hAnsi="Bookman Old Style" w:cs="Times New Roman"/>
          <w:b/>
          <w:bCs/>
        </w:rPr>
        <w:t xml:space="preserve"> su interventi di ristrutturazione edilizia per </w:t>
      </w:r>
      <w:r w:rsidR="003C361E" w:rsidRPr="00FB607D">
        <w:rPr>
          <w:rFonts w:ascii="Bookman Old Style" w:hAnsi="Bookman Old Style" w:cs="Times New Roman"/>
          <w:b/>
          <w:bCs/>
        </w:rPr>
        <w:t xml:space="preserve">immobili </w:t>
      </w:r>
      <w:r w:rsidR="009E3C60" w:rsidRPr="00FB607D">
        <w:rPr>
          <w:rFonts w:ascii="Bookman Old Style" w:hAnsi="Bookman Old Style" w:cs="Times New Roman"/>
          <w:b/>
          <w:bCs/>
        </w:rPr>
        <w:t xml:space="preserve">inseriti in </w:t>
      </w:r>
      <w:r w:rsidR="00AE60CF" w:rsidRPr="00FB607D">
        <w:rPr>
          <w:rFonts w:ascii="Bookman Old Style" w:hAnsi="Bookman Old Style" w:cs="Times New Roman"/>
          <w:b/>
          <w:bCs/>
        </w:rPr>
        <w:t xml:space="preserve">aree </w:t>
      </w:r>
      <w:r w:rsidR="002206F2" w:rsidRPr="00FB607D">
        <w:rPr>
          <w:rFonts w:ascii="Bookman Old Style" w:hAnsi="Bookman Old Style" w:cs="Times New Roman"/>
          <w:b/>
          <w:bCs/>
        </w:rPr>
        <w:t xml:space="preserve">soggette a vincolo </w:t>
      </w:r>
      <w:r w:rsidR="00AE60CF" w:rsidRPr="00FB607D">
        <w:rPr>
          <w:rFonts w:ascii="Bookman Old Style" w:hAnsi="Bookman Old Style" w:cs="Times New Roman"/>
          <w:b/>
          <w:bCs/>
        </w:rPr>
        <w:t>di tutela paesaggistica</w:t>
      </w:r>
      <w:r w:rsidR="00BB583B" w:rsidRPr="00FB607D">
        <w:rPr>
          <w:rFonts w:ascii="Bookman Old Style" w:hAnsi="Bookman Old Style" w:cs="Times New Roman"/>
          <w:b/>
          <w:bCs/>
        </w:rPr>
        <w:t xml:space="preserve"> </w:t>
      </w:r>
      <w:r w:rsidR="00097714" w:rsidRPr="00FB607D">
        <w:rPr>
          <w:rFonts w:ascii="Bookman Old Style" w:hAnsi="Bookman Old Style" w:cs="Times New Roman"/>
          <w:b/>
          <w:bCs/>
        </w:rPr>
        <w:t>di cui al</w:t>
      </w:r>
      <w:r w:rsidR="00AE60CF" w:rsidRPr="00FB607D">
        <w:rPr>
          <w:rFonts w:ascii="Bookman Old Style" w:hAnsi="Bookman Old Style" w:cs="Times New Roman"/>
          <w:b/>
          <w:bCs/>
        </w:rPr>
        <w:t xml:space="preserve"> </w:t>
      </w:r>
      <w:r w:rsidR="00A63658" w:rsidRPr="00FB607D">
        <w:rPr>
          <w:rFonts w:ascii="Bookman Old Style" w:hAnsi="Bookman Old Style" w:cs="Times New Roman"/>
          <w:b/>
          <w:bCs/>
        </w:rPr>
        <w:t xml:space="preserve">Codice dei beni </w:t>
      </w:r>
      <w:r w:rsidR="00F17B39" w:rsidRPr="00FB607D">
        <w:rPr>
          <w:rFonts w:ascii="Bookman Old Style" w:hAnsi="Bookman Old Style" w:cs="Times New Roman"/>
          <w:b/>
          <w:bCs/>
        </w:rPr>
        <w:t>c</w:t>
      </w:r>
      <w:r w:rsidR="00A63658" w:rsidRPr="00FB607D">
        <w:rPr>
          <w:rFonts w:ascii="Bookman Old Style" w:hAnsi="Bookman Old Style" w:cs="Times New Roman"/>
          <w:b/>
          <w:bCs/>
        </w:rPr>
        <w:t xml:space="preserve">ulturali e del </w:t>
      </w:r>
      <w:r w:rsidR="00DB4B15" w:rsidRPr="00FB607D">
        <w:rPr>
          <w:rFonts w:ascii="Bookman Old Style" w:hAnsi="Bookman Old Style" w:cs="Times New Roman"/>
          <w:b/>
          <w:bCs/>
        </w:rPr>
        <w:t>p</w:t>
      </w:r>
      <w:r w:rsidR="00A63658" w:rsidRPr="00FB607D">
        <w:rPr>
          <w:rFonts w:ascii="Bookman Old Style" w:hAnsi="Bookman Old Style" w:cs="Times New Roman"/>
          <w:b/>
          <w:bCs/>
        </w:rPr>
        <w:t>aesaggio</w:t>
      </w:r>
      <w:r w:rsidR="00AE60CF" w:rsidRPr="00FB607D">
        <w:rPr>
          <w:rFonts w:ascii="Bookman Old Style" w:hAnsi="Bookman Old Style" w:cs="Times New Roman"/>
          <w:b/>
          <w:bCs/>
        </w:rPr>
        <w:t>.</w:t>
      </w:r>
      <w:r w:rsidR="00A63658" w:rsidRPr="00FB607D">
        <w:rPr>
          <w:rFonts w:ascii="Bookman Old Style" w:hAnsi="Bookman Old Style" w:cs="Times New Roman"/>
          <w:b/>
          <w:bCs/>
        </w:rPr>
        <w:t xml:space="preserve"> </w:t>
      </w:r>
    </w:p>
    <w:p w:rsidR="00A63658" w:rsidRPr="00FB607D" w:rsidRDefault="00A63658" w:rsidP="00BB2471">
      <w:pPr>
        <w:spacing w:line="360" w:lineRule="auto"/>
        <w:rPr>
          <w:rFonts w:ascii="Bookman Old Style" w:hAnsi="Bookman Old Style" w:cs="Times New Roman"/>
        </w:rPr>
      </w:pPr>
    </w:p>
    <w:p w:rsidR="00DC4828" w:rsidRPr="00FB607D" w:rsidRDefault="00DC4828" w:rsidP="00BB2471">
      <w:pPr>
        <w:spacing w:line="360" w:lineRule="auto"/>
        <w:rPr>
          <w:rFonts w:ascii="Bookman Old Style" w:hAnsi="Bookman Old Style" w:cs="Times New Roman"/>
        </w:rPr>
      </w:pPr>
    </w:p>
    <w:p w:rsidR="00A63658" w:rsidRPr="00FB607D" w:rsidRDefault="002206F2" w:rsidP="00BB2471">
      <w:pPr>
        <w:spacing w:line="360" w:lineRule="auto"/>
        <w:jc w:val="both"/>
        <w:rPr>
          <w:rFonts w:ascii="Bookman Old Style" w:hAnsi="Bookman Old Style" w:cs="Times New Roman"/>
        </w:rPr>
      </w:pPr>
      <w:r w:rsidRPr="00FB607D">
        <w:rPr>
          <w:rFonts w:ascii="Bookman Old Style" w:eastAsia="Times New Roman" w:hAnsi="Bookman Old Style" w:cs="Times New Roman"/>
          <w:noProof/>
          <w:color w:val="000000"/>
          <w:lang w:eastAsia="it-IT"/>
        </w:rPr>
        <w:t>Al fine di fornire</w:t>
      </w:r>
      <w:r w:rsidR="00307989">
        <w:rPr>
          <w:rFonts w:ascii="Bookman Old Style" w:eastAsia="Times New Roman" w:hAnsi="Bookman Old Style" w:cs="Times New Roman"/>
          <w:noProof/>
          <w:color w:val="000000"/>
          <w:lang w:eastAsia="it-IT"/>
        </w:rPr>
        <w:t xml:space="preserve"> ai Comuni</w:t>
      </w:r>
      <w:r w:rsidRPr="00FB607D">
        <w:rPr>
          <w:rFonts w:ascii="Bookman Old Style" w:eastAsia="Times New Roman" w:hAnsi="Bookman Old Style" w:cs="Times New Roman"/>
          <w:noProof/>
          <w:color w:val="000000"/>
          <w:lang w:eastAsia="it-IT"/>
        </w:rPr>
        <w:t xml:space="preserve"> </w:t>
      </w:r>
      <w:r w:rsidR="00307989">
        <w:rPr>
          <w:rFonts w:ascii="Bookman Old Style" w:eastAsia="Times New Roman" w:hAnsi="Bookman Old Style" w:cs="Times New Roman"/>
          <w:noProof/>
          <w:color w:val="000000"/>
          <w:lang w:eastAsia="it-IT"/>
        </w:rPr>
        <w:t xml:space="preserve">adeguato supporto informativo circa gli ultimi orientamenti interpretativi in materia urbanistica ed edilizia, </w:t>
      </w:r>
      <w:r w:rsidRPr="00FB607D">
        <w:rPr>
          <w:rFonts w:ascii="Bookman Old Style" w:eastAsia="Times New Roman" w:hAnsi="Bookman Old Style" w:cs="Times New Roman"/>
          <w:noProof/>
          <w:color w:val="000000"/>
          <w:lang w:eastAsia="it-IT"/>
        </w:rPr>
        <w:t xml:space="preserve"> si d</w:t>
      </w:r>
      <w:r w:rsidR="009F76D6" w:rsidRPr="00FB607D">
        <w:rPr>
          <w:rFonts w:ascii="Bookman Old Style" w:eastAsia="Times New Roman" w:hAnsi="Bookman Old Style" w:cs="Times New Roman"/>
          <w:noProof/>
          <w:color w:val="000000"/>
          <w:lang w:eastAsia="it-IT"/>
        </w:rPr>
        <w:t>iffond</w:t>
      </w:r>
      <w:r w:rsidRPr="00FB607D">
        <w:rPr>
          <w:rFonts w:ascii="Bookman Old Style" w:eastAsia="Times New Roman" w:hAnsi="Bookman Old Style" w:cs="Times New Roman"/>
          <w:noProof/>
          <w:color w:val="000000"/>
          <w:lang w:eastAsia="it-IT"/>
        </w:rPr>
        <w:t>e la “</w:t>
      </w:r>
      <w:r w:rsidR="00A63658" w:rsidRPr="00FB607D">
        <w:rPr>
          <w:rFonts w:ascii="Bookman Old Style" w:eastAsia="Times New Roman" w:hAnsi="Bookman Old Style" w:cs="Times New Roman"/>
          <w:noProof/>
          <w:color w:val="000000"/>
          <w:lang w:eastAsia="it-IT"/>
        </w:rPr>
        <w:t>precisazione applicativa</w:t>
      </w:r>
      <w:r w:rsidRPr="00FB607D">
        <w:rPr>
          <w:rFonts w:ascii="Bookman Old Style" w:eastAsia="Times New Roman" w:hAnsi="Bookman Old Style" w:cs="Times New Roman"/>
          <w:noProof/>
          <w:color w:val="000000"/>
          <w:lang w:eastAsia="it-IT"/>
        </w:rPr>
        <w:t>”</w:t>
      </w:r>
      <w:r w:rsidR="00A63658" w:rsidRPr="00FB607D">
        <w:rPr>
          <w:rFonts w:ascii="Bookman Old Style" w:eastAsia="Times New Roman" w:hAnsi="Bookman Old Style" w:cs="Times New Roman"/>
          <w:noProof/>
          <w:color w:val="000000"/>
          <w:lang w:eastAsia="it-IT"/>
        </w:rPr>
        <w:t xml:space="preserve"> del </w:t>
      </w:r>
      <w:r w:rsidR="002B52F9" w:rsidRPr="00FB607D">
        <w:rPr>
          <w:rFonts w:ascii="Bookman Old Style" w:eastAsia="Times New Roman" w:hAnsi="Bookman Old Style" w:cs="Times New Roman"/>
          <w:noProof/>
          <w:color w:val="000000"/>
          <w:lang w:eastAsia="it-IT"/>
        </w:rPr>
        <w:t>C</w:t>
      </w:r>
      <w:r w:rsidR="00A63658" w:rsidRPr="00FB607D">
        <w:rPr>
          <w:rFonts w:ascii="Bookman Old Style" w:eastAsia="Times New Roman" w:hAnsi="Bookman Old Style" w:cs="Times New Roman"/>
          <w:noProof/>
          <w:color w:val="000000"/>
          <w:lang w:eastAsia="it-IT"/>
        </w:rPr>
        <w:t xml:space="preserve">SLP </w:t>
      </w:r>
      <w:r w:rsidR="000F7791" w:rsidRPr="00FB607D">
        <w:rPr>
          <w:rFonts w:ascii="Bookman Old Style" w:eastAsia="Times New Roman" w:hAnsi="Bookman Old Style" w:cs="Times New Roman"/>
          <w:noProof/>
          <w:color w:val="000000"/>
          <w:lang w:eastAsia="it-IT"/>
        </w:rPr>
        <w:t xml:space="preserve">dell’11 agosto </w:t>
      </w:r>
      <w:r w:rsidRPr="00FB607D">
        <w:rPr>
          <w:rFonts w:ascii="Bookman Old Style" w:eastAsia="Times New Roman" w:hAnsi="Bookman Old Style" w:cs="Times New Roman"/>
          <w:noProof/>
          <w:color w:val="000000"/>
          <w:lang w:eastAsia="it-IT"/>
        </w:rPr>
        <w:t>u.s.</w:t>
      </w:r>
      <w:r w:rsidR="000F7791" w:rsidRPr="00FB607D">
        <w:rPr>
          <w:rFonts w:ascii="Bookman Old Style" w:eastAsia="Times New Roman" w:hAnsi="Bookman Old Style" w:cs="Times New Roman"/>
          <w:noProof/>
          <w:color w:val="000000"/>
          <w:lang w:eastAsia="it-IT"/>
        </w:rPr>
        <w:t xml:space="preserve">, </w:t>
      </w:r>
      <w:r w:rsidR="00A63658" w:rsidRPr="00FB607D">
        <w:rPr>
          <w:rFonts w:ascii="Bookman Old Style" w:eastAsia="Times New Roman" w:hAnsi="Bookman Old Style" w:cs="Times New Roman"/>
          <w:noProof/>
          <w:color w:val="000000"/>
          <w:lang w:eastAsia="it-IT"/>
        </w:rPr>
        <w:t>in mer</w:t>
      </w:r>
      <w:r w:rsidR="00BB583B" w:rsidRPr="00FB607D">
        <w:rPr>
          <w:rFonts w:ascii="Bookman Old Style" w:eastAsia="Times New Roman" w:hAnsi="Bookman Old Style" w:cs="Times New Roman"/>
          <w:noProof/>
          <w:color w:val="000000"/>
          <w:lang w:eastAsia="it-IT"/>
        </w:rPr>
        <w:t>i</w:t>
      </w:r>
      <w:r w:rsidR="00A63658" w:rsidRPr="00FB607D">
        <w:rPr>
          <w:rFonts w:ascii="Bookman Old Style" w:eastAsia="Times New Roman" w:hAnsi="Bookman Old Style" w:cs="Times New Roman"/>
          <w:noProof/>
          <w:color w:val="000000"/>
          <w:lang w:eastAsia="it-IT"/>
        </w:rPr>
        <w:t xml:space="preserve">to agli interventi di </w:t>
      </w:r>
      <w:r w:rsidR="00BB583B" w:rsidRPr="00FB607D">
        <w:rPr>
          <w:rFonts w:ascii="Bookman Old Style" w:eastAsia="Times New Roman" w:hAnsi="Bookman Old Style" w:cs="Times New Roman"/>
          <w:noProof/>
          <w:color w:val="000000"/>
          <w:lang w:eastAsia="it-IT"/>
        </w:rPr>
        <w:t xml:space="preserve">demolizione e ricostruzione di immobili rientranti nella nozione di </w:t>
      </w:r>
      <w:r w:rsidR="00A63658" w:rsidRPr="00FB607D">
        <w:rPr>
          <w:rFonts w:ascii="Bookman Old Style" w:hAnsi="Bookman Old Style" w:cs="Times New Roman"/>
        </w:rPr>
        <w:t xml:space="preserve">ristrutturazione edilizia – di cui all’articolo </w:t>
      </w:r>
      <w:r w:rsidR="00A63658" w:rsidRPr="00FB607D">
        <w:rPr>
          <w:rFonts w:ascii="Bookman Old Style" w:eastAsia="Times New Roman" w:hAnsi="Bookman Old Style" w:cs="Times New Roman"/>
          <w:noProof/>
          <w:color w:val="000000"/>
          <w:lang w:eastAsia="it-IT"/>
        </w:rPr>
        <w:t xml:space="preserve">3, lettera </w:t>
      </w:r>
      <w:r w:rsidR="00A63658" w:rsidRPr="00FB607D">
        <w:rPr>
          <w:rFonts w:ascii="Bookman Old Style" w:hAnsi="Bookman Old Style" w:cs="Times New Roman"/>
        </w:rPr>
        <w:t xml:space="preserve">d) </w:t>
      </w:r>
      <w:proofErr w:type="spellStart"/>
      <w:r w:rsidR="00A63658" w:rsidRPr="00FB607D">
        <w:rPr>
          <w:rFonts w:ascii="Bookman Old Style" w:hAnsi="Bookman Old Style" w:cs="Times New Roman"/>
        </w:rPr>
        <w:t>dpr</w:t>
      </w:r>
      <w:proofErr w:type="spellEnd"/>
      <w:r w:rsidR="00A63658" w:rsidRPr="00FB607D">
        <w:rPr>
          <w:rFonts w:ascii="Bookman Old Style" w:hAnsi="Bookman Old Style" w:cs="Times New Roman"/>
        </w:rPr>
        <w:t xml:space="preserve"> 380/2001 e </w:t>
      </w:r>
      <w:proofErr w:type="spellStart"/>
      <w:r w:rsidR="00A63658" w:rsidRPr="00FB607D">
        <w:rPr>
          <w:rFonts w:ascii="Bookman Old Style" w:hAnsi="Bookman Old Style" w:cs="Times New Roman"/>
        </w:rPr>
        <w:t>smi</w:t>
      </w:r>
      <w:proofErr w:type="spellEnd"/>
      <w:r w:rsidR="00A63658" w:rsidRPr="00FB607D">
        <w:rPr>
          <w:rFonts w:ascii="Bookman Old Style" w:hAnsi="Bookman Old Style" w:cs="Times New Roman"/>
        </w:rPr>
        <w:t xml:space="preserve"> – in ambiti sottoposti a</w:t>
      </w:r>
      <w:r w:rsidRPr="00FB607D">
        <w:rPr>
          <w:rFonts w:ascii="Bookman Old Style" w:hAnsi="Bookman Old Style" w:cs="Times New Roman"/>
        </w:rPr>
        <w:t xml:space="preserve">i vincoli di cui al </w:t>
      </w:r>
      <w:r w:rsidR="00A63658" w:rsidRPr="00FB607D">
        <w:rPr>
          <w:rFonts w:ascii="Bookman Old Style" w:hAnsi="Bookman Old Style" w:cs="Times New Roman"/>
        </w:rPr>
        <w:t xml:space="preserve"> Codice dei beni culturali e del Paesaggio di cui al d.lgs. 22 gennaio 2004, n. 42.</w:t>
      </w:r>
      <w:r w:rsidR="00A6513F" w:rsidRPr="00FB607D">
        <w:rPr>
          <w:rFonts w:ascii="Bookman Old Style" w:hAnsi="Bookman Old Style" w:cs="Times New Roman"/>
        </w:rPr>
        <w:t xml:space="preserve"> </w:t>
      </w:r>
    </w:p>
    <w:p w:rsidR="003D3AB3" w:rsidRPr="00FB607D" w:rsidRDefault="0085536B" w:rsidP="00BB2471">
      <w:pPr>
        <w:spacing w:line="360" w:lineRule="auto"/>
        <w:jc w:val="both"/>
        <w:rPr>
          <w:rFonts w:ascii="Bookman Old Style" w:hAnsi="Bookman Old Style" w:cs="Times New Roman"/>
          <w:i/>
          <w:iCs/>
        </w:rPr>
      </w:pPr>
      <w:r w:rsidRPr="00FB607D">
        <w:rPr>
          <w:rFonts w:ascii="Bookman Old Style" w:hAnsi="Bookman Old Style" w:cs="Times New Roman"/>
        </w:rPr>
        <w:t xml:space="preserve">Ricordiamo che </w:t>
      </w:r>
      <w:r w:rsidR="00AF38D4" w:rsidRPr="00FB607D">
        <w:rPr>
          <w:rFonts w:ascii="Bookman Old Style" w:hAnsi="Bookman Old Style" w:cs="Times New Roman"/>
        </w:rPr>
        <w:t xml:space="preserve">l’articolo 3, c. 1, </w:t>
      </w:r>
      <w:proofErr w:type="spellStart"/>
      <w:r w:rsidR="00AF38D4" w:rsidRPr="00FB607D">
        <w:rPr>
          <w:rFonts w:ascii="Bookman Old Style" w:hAnsi="Bookman Old Style" w:cs="Times New Roman"/>
        </w:rPr>
        <w:t>let</w:t>
      </w:r>
      <w:r w:rsidR="001E5B5E" w:rsidRPr="00FB607D">
        <w:rPr>
          <w:rFonts w:ascii="Bookman Old Style" w:hAnsi="Bookman Old Style" w:cs="Times New Roman"/>
        </w:rPr>
        <w:t>t</w:t>
      </w:r>
      <w:proofErr w:type="spellEnd"/>
      <w:r w:rsidR="001E5B5E" w:rsidRPr="00FB607D">
        <w:rPr>
          <w:rFonts w:ascii="Bookman Old Style" w:hAnsi="Bookman Old Style" w:cs="Times New Roman"/>
        </w:rPr>
        <w:t>.</w:t>
      </w:r>
      <w:r w:rsidR="00AF38D4" w:rsidRPr="00FB607D">
        <w:rPr>
          <w:rFonts w:ascii="Bookman Old Style" w:hAnsi="Bookman Old Style" w:cs="Times New Roman"/>
        </w:rPr>
        <w:t xml:space="preserve"> d) del DRP 380/01</w:t>
      </w:r>
      <w:r w:rsidR="00EB7AA4" w:rsidRPr="00FB607D">
        <w:rPr>
          <w:rFonts w:ascii="Bookman Old Style" w:hAnsi="Bookman Old Style" w:cs="Times New Roman"/>
        </w:rPr>
        <w:t>,</w:t>
      </w:r>
      <w:r w:rsidR="00AF38D4" w:rsidRPr="00FB607D">
        <w:rPr>
          <w:rFonts w:ascii="Bookman Old Style" w:hAnsi="Bookman Old Style" w:cs="Times New Roman"/>
        </w:rPr>
        <w:t xml:space="preserve"> come modificato dall’articolo 10</w:t>
      </w:r>
      <w:r w:rsidR="00116BA5" w:rsidRPr="00FB607D">
        <w:rPr>
          <w:rFonts w:ascii="Bookman Old Style" w:hAnsi="Bookman Old Style" w:cs="Times New Roman"/>
        </w:rPr>
        <w:t>, comma 1, let</w:t>
      </w:r>
      <w:r w:rsidR="00E4615D" w:rsidRPr="00FB607D">
        <w:rPr>
          <w:rFonts w:ascii="Bookman Old Style" w:hAnsi="Bookman Old Style" w:cs="Times New Roman"/>
        </w:rPr>
        <w:t>tera</w:t>
      </w:r>
      <w:r w:rsidR="00116BA5" w:rsidRPr="00FB607D">
        <w:rPr>
          <w:rFonts w:ascii="Bookman Old Style" w:hAnsi="Bookman Old Style" w:cs="Times New Roman"/>
        </w:rPr>
        <w:t xml:space="preserve"> b)</w:t>
      </w:r>
      <w:r w:rsidR="00EB7AA4" w:rsidRPr="00FB607D">
        <w:rPr>
          <w:rFonts w:ascii="Bookman Old Style" w:hAnsi="Bookman Old Style" w:cs="Times New Roman"/>
        </w:rPr>
        <w:t>,</w:t>
      </w:r>
      <w:r w:rsidR="003D3AB3" w:rsidRPr="00FB607D">
        <w:rPr>
          <w:rFonts w:ascii="Bookman Old Style" w:hAnsi="Bookman Old Style" w:cs="Times New Roman"/>
        </w:rPr>
        <w:t xml:space="preserve"> </w:t>
      </w:r>
      <w:r w:rsidR="00A6513F" w:rsidRPr="00FB607D">
        <w:rPr>
          <w:rFonts w:ascii="Bookman Old Style" w:hAnsi="Bookman Old Style" w:cs="Times New Roman"/>
        </w:rPr>
        <w:t>del Decreto legge n. 76 del 16 luglio 2020 (c</w:t>
      </w:r>
      <w:r w:rsidR="0005492B" w:rsidRPr="00FB607D">
        <w:rPr>
          <w:rFonts w:ascii="Bookman Old Style" w:hAnsi="Bookman Old Style" w:cs="Times New Roman"/>
        </w:rPr>
        <w:t>.</w:t>
      </w:r>
      <w:r w:rsidR="00A6513F" w:rsidRPr="00FB607D">
        <w:rPr>
          <w:rFonts w:ascii="Bookman Old Style" w:hAnsi="Bookman Old Style" w:cs="Times New Roman"/>
        </w:rPr>
        <w:t>d.</w:t>
      </w:r>
      <w:r w:rsidR="00A6513F" w:rsidRPr="00FB607D">
        <w:rPr>
          <w:rFonts w:ascii="Bookman Old Style" w:hAnsi="Bookman Old Style" w:cs="Times New Roman"/>
          <w:i/>
          <w:iCs/>
        </w:rPr>
        <w:t xml:space="preserve"> </w:t>
      </w:r>
      <w:r w:rsidR="00A6513F" w:rsidRPr="00FB607D">
        <w:rPr>
          <w:rFonts w:ascii="Bookman Old Style" w:hAnsi="Bookman Old Style" w:cs="Times New Roman"/>
        </w:rPr>
        <w:t>Decreto semplificazioni)</w:t>
      </w:r>
      <w:r w:rsidR="00E4615D" w:rsidRPr="00FB607D">
        <w:rPr>
          <w:rFonts w:ascii="Bookman Old Style" w:hAnsi="Bookman Old Style" w:cs="Times New Roman"/>
        </w:rPr>
        <w:t>,</w:t>
      </w:r>
      <w:r w:rsidR="00A6513F" w:rsidRPr="00FB607D">
        <w:rPr>
          <w:rFonts w:ascii="Bookman Old Style" w:hAnsi="Bookman Old Style" w:cs="Times New Roman"/>
        </w:rPr>
        <w:t xml:space="preserve"> convertito, con modificazioni, dalla Legge 11 settembre 2020, n.120</w:t>
      </w:r>
      <w:r w:rsidR="00E4615D" w:rsidRPr="00FB607D">
        <w:rPr>
          <w:rFonts w:ascii="Bookman Old Style" w:hAnsi="Bookman Old Style" w:cs="Times New Roman"/>
        </w:rPr>
        <w:t>,</w:t>
      </w:r>
      <w:r w:rsidR="00A6513F" w:rsidRPr="00FB607D">
        <w:rPr>
          <w:rFonts w:ascii="Bookman Old Style" w:hAnsi="Bookman Old Style" w:cs="Times New Roman"/>
        </w:rPr>
        <w:t xml:space="preserve"> </w:t>
      </w:r>
      <w:r w:rsidR="003D3AB3" w:rsidRPr="00FB607D">
        <w:rPr>
          <w:rFonts w:ascii="Bookman Old Style" w:hAnsi="Bookman Old Style" w:cs="Times New Roman"/>
        </w:rPr>
        <w:t xml:space="preserve">definisce </w:t>
      </w:r>
      <w:r w:rsidR="003D3AB3" w:rsidRPr="00FB607D">
        <w:rPr>
          <w:rFonts w:ascii="Bookman Old Style" w:hAnsi="Bookman Old Style" w:cs="Times New Roman"/>
          <w:i/>
          <w:iCs/>
        </w:rPr>
        <w:t xml:space="preserve">“d) "interventi di ristrutturazione edilizia", gli interventi rivolti a trasformare gli organismi edilizi mediante un insieme sistematico di opere che possono portare ad un organismo edilizio </w:t>
      </w:r>
      <w:r w:rsidR="003D3AB3" w:rsidRPr="00FB607D">
        <w:rPr>
          <w:rFonts w:ascii="Bookman Old Style" w:hAnsi="Bookman Old Style" w:cs="Times New Roman"/>
          <w:i/>
          <w:iCs/>
          <w:u w:val="single"/>
        </w:rPr>
        <w:t>in tutto o in parte</w:t>
      </w:r>
      <w:r w:rsidR="003D3AB3" w:rsidRPr="00FB607D">
        <w:rPr>
          <w:rFonts w:ascii="Bookman Old Style" w:hAnsi="Bookman Old Style" w:cs="Times New Roman"/>
          <w:i/>
          <w:iCs/>
        </w:rPr>
        <w:t xml:space="preserve"> diverso dal precedente. Tali interventi comprendono il ripristino o la sostituzione di alcuni elementi costitutivi dell'edificio, l’eliminazione, la modifica e l'inserimento di nuovi elementi ed impianti. </w:t>
      </w:r>
      <w:r w:rsidR="003D3AB3" w:rsidRPr="00FB607D">
        <w:rPr>
          <w:rFonts w:ascii="Bookman Old Style" w:hAnsi="Bookman Old Style" w:cs="Times New Roman"/>
          <w:i/>
          <w:iCs/>
          <w:u w:val="single"/>
        </w:rPr>
        <w:t>Nell’ambito degli interventi di ristrutturazione edilizia sono ricompresi altresì gli interventi di demolizione e ricostruzione di edifici esistenti con diversi sagoma, prospetti, sedime e caratteristiche planivolumetriche e tipologiche,</w:t>
      </w:r>
      <w:r w:rsidR="003D3AB3" w:rsidRPr="00FB607D">
        <w:rPr>
          <w:rFonts w:ascii="Bookman Old Style" w:hAnsi="Bookman Old Style" w:cs="Times New Roman"/>
          <w:i/>
          <w:iCs/>
        </w:rPr>
        <w:t xml:space="preserve"> </w:t>
      </w:r>
      <w:r w:rsidR="003D3AB3" w:rsidRPr="00FB607D">
        <w:rPr>
          <w:rFonts w:ascii="Bookman Old Style" w:hAnsi="Bookman Old Style" w:cs="Times New Roman"/>
          <w:i/>
          <w:iCs/>
          <w:u w:val="single"/>
        </w:rPr>
        <w:t>con le innovazioni necessarie per l’adeguamento alla normativa antisismica, per l’applicazione della normativa sull’accessibilità, per l’istallazione di impianti tecnologici e per l’</w:t>
      </w:r>
      <w:proofErr w:type="spellStart"/>
      <w:r w:rsidR="003D3AB3" w:rsidRPr="00FB607D">
        <w:rPr>
          <w:rFonts w:ascii="Bookman Old Style" w:hAnsi="Bookman Old Style" w:cs="Times New Roman"/>
          <w:i/>
          <w:iCs/>
          <w:u w:val="single"/>
        </w:rPr>
        <w:t>efficientamento</w:t>
      </w:r>
      <w:proofErr w:type="spellEnd"/>
      <w:r w:rsidR="003D3AB3" w:rsidRPr="00FB607D">
        <w:rPr>
          <w:rFonts w:ascii="Bookman Old Style" w:hAnsi="Bookman Old Style" w:cs="Times New Roman"/>
          <w:i/>
          <w:iCs/>
          <w:u w:val="single"/>
        </w:rPr>
        <w:t xml:space="preserve"> energetico. L’intervento può prevedere altresì, nei soli casi espressamente previsti dalla legislazione vigente o dagli strumenti urbanistici comunali, incrementi di volumetria anche per promuovere interventi di rigenerazione urbana.</w:t>
      </w:r>
      <w:r w:rsidR="003D3AB3" w:rsidRPr="00FB607D">
        <w:rPr>
          <w:rFonts w:ascii="Bookman Old Style" w:hAnsi="Bookman Old Style" w:cs="Times New Roman"/>
          <w:i/>
          <w:iCs/>
        </w:rPr>
        <w:t xml:space="preserve"> Costituiscono inoltre ristrutturazione edilizia gli interventi volti al ripristino di edifici, o parti di essi, eventualmente crollati o demoliti, attraverso la loro ricostruzione, purché sia </w:t>
      </w:r>
      <w:r w:rsidR="003D3AB3" w:rsidRPr="00FB607D">
        <w:rPr>
          <w:rFonts w:ascii="Bookman Old Style" w:hAnsi="Bookman Old Style" w:cs="Times New Roman"/>
          <w:i/>
          <w:iCs/>
        </w:rPr>
        <w:lastRenderedPageBreak/>
        <w:t xml:space="preserve">possibile accertarne la preesistente consistenza. Rimane fermo che, </w:t>
      </w:r>
      <w:r w:rsidR="003D3AB3" w:rsidRPr="00FB607D">
        <w:rPr>
          <w:rFonts w:ascii="Bookman Old Style" w:hAnsi="Bookman Old Style" w:cs="Times New Roman"/>
          <w:i/>
          <w:iCs/>
          <w:u w:val="single"/>
        </w:rPr>
        <w:t>con riferimento agli immobili sottoposti a tutela ai sensi del Codice dei beni culturali e del paesaggio di cui al decreto legislativo 22 gennaio 2004, n. 42</w:t>
      </w:r>
      <w:r w:rsidR="003D3AB3" w:rsidRPr="00FB607D">
        <w:rPr>
          <w:rFonts w:ascii="Bookman Old Style" w:hAnsi="Bookman Old Style" w:cs="Times New Roman"/>
          <w:i/>
          <w:iCs/>
        </w:rPr>
        <w:t xml:space="preserve">, nonché, fatte salve le previsioni legislative e degli strumenti urbanistici, a quelli ubicati nelle zone omogenee A di cui al decreto del Ministro per i lavori pubblici 2 aprile 1968, n. 1444, o in zone a queste assimilabili in base alla normativa regionale e ai piani urbanistici comunali, nei centri e nuclei storici consolidati e negli ulteriori ambiti di particolare pregio storico e architettonico, </w:t>
      </w:r>
      <w:r w:rsidR="003D3AB3" w:rsidRPr="00FB607D">
        <w:rPr>
          <w:rFonts w:ascii="Bookman Old Style" w:hAnsi="Bookman Old Style" w:cs="Times New Roman"/>
          <w:i/>
          <w:iCs/>
          <w:u w:val="single"/>
        </w:rPr>
        <w:t>gli interventi di demolizione e ricostruzione e gli interventi di ripristino di edifici crollati o demoliti costituiscono interventi di ristrutturazione edilizia</w:t>
      </w:r>
      <w:r w:rsidR="003D3AB3" w:rsidRPr="00FB607D">
        <w:rPr>
          <w:rFonts w:ascii="Bookman Old Style" w:hAnsi="Bookman Old Style" w:cs="Times New Roman"/>
          <w:i/>
          <w:iCs/>
        </w:rPr>
        <w:t xml:space="preserve"> </w:t>
      </w:r>
      <w:r w:rsidR="003D3AB3" w:rsidRPr="00FB607D">
        <w:rPr>
          <w:rFonts w:ascii="Bookman Old Style" w:hAnsi="Bookman Old Style" w:cs="Times New Roman"/>
          <w:i/>
          <w:iCs/>
          <w:u w:val="single"/>
        </w:rPr>
        <w:t>soltanto ove siano mantenuti sagoma, prospetti, sedime e caratteristiche planivolumetriche e tipologiche dell’edificio preesistente e non siano previsti incrementi di volumetria;</w:t>
      </w:r>
      <w:r w:rsidR="003D3AB3" w:rsidRPr="00FB607D">
        <w:rPr>
          <w:rFonts w:ascii="Bookman Old Style" w:hAnsi="Bookman Old Style" w:cs="Times New Roman"/>
          <w:i/>
          <w:iCs/>
        </w:rPr>
        <w:t>”.</w:t>
      </w:r>
    </w:p>
    <w:p w:rsidR="00A3557B" w:rsidRDefault="00A3557B" w:rsidP="00BB2471">
      <w:pPr>
        <w:spacing w:line="360" w:lineRule="auto"/>
        <w:jc w:val="both"/>
        <w:rPr>
          <w:rFonts w:ascii="Bookman Old Style" w:hAnsi="Bookman Old Style" w:cs="Times New Roman"/>
        </w:rPr>
      </w:pPr>
    </w:p>
    <w:p w:rsidR="001025AD" w:rsidRDefault="001025AD" w:rsidP="00BB2471">
      <w:pPr>
        <w:spacing w:line="360" w:lineRule="auto"/>
        <w:jc w:val="both"/>
        <w:rPr>
          <w:rFonts w:ascii="Bookman Old Style" w:hAnsi="Bookman Old Style" w:cs="Times New Roman"/>
        </w:rPr>
      </w:pPr>
      <w:r w:rsidRPr="00FB607D">
        <w:rPr>
          <w:rFonts w:ascii="Bookman Old Style" w:hAnsi="Bookman Old Style" w:cs="Times New Roman"/>
        </w:rPr>
        <w:t>La finalità della</w:t>
      </w:r>
      <w:r w:rsidR="00BB583B" w:rsidRPr="00FB607D">
        <w:rPr>
          <w:rFonts w:ascii="Bookman Old Style" w:hAnsi="Bookman Old Style" w:cs="Times New Roman"/>
        </w:rPr>
        <w:t xml:space="preserve"> </w:t>
      </w:r>
      <w:proofErr w:type="spellStart"/>
      <w:r w:rsidR="00BB583B" w:rsidRPr="00FB607D">
        <w:rPr>
          <w:rFonts w:ascii="Bookman Old Style" w:hAnsi="Bookman Old Style" w:cs="Times New Roman"/>
        </w:rPr>
        <w:t>surrichiamata</w:t>
      </w:r>
      <w:proofErr w:type="spellEnd"/>
      <w:r w:rsidR="00BB583B" w:rsidRPr="00FB607D">
        <w:rPr>
          <w:rFonts w:ascii="Bookman Old Style" w:hAnsi="Bookman Old Style" w:cs="Times New Roman"/>
        </w:rPr>
        <w:t xml:space="preserve"> modifica normativa</w:t>
      </w:r>
      <w:r w:rsidR="00162EE2" w:rsidRPr="00FB607D">
        <w:rPr>
          <w:rFonts w:ascii="Bookman Old Style" w:hAnsi="Bookman Old Style" w:cs="Times New Roman"/>
        </w:rPr>
        <w:t>,</w:t>
      </w:r>
      <w:r w:rsidR="00BB583B" w:rsidRPr="00FB607D">
        <w:rPr>
          <w:rFonts w:ascii="Bookman Old Style" w:hAnsi="Bookman Old Style" w:cs="Times New Roman"/>
        </w:rPr>
        <w:t xml:space="preserve"> introdotta con la legge di conversione del DL 76/ 2020 (legge n. 120/2020), </w:t>
      </w:r>
      <w:r w:rsidRPr="00FB607D">
        <w:rPr>
          <w:rFonts w:ascii="Bookman Old Style" w:hAnsi="Bookman Old Style" w:cs="Times New Roman"/>
        </w:rPr>
        <w:t xml:space="preserve">era quella di prevedere un regime </w:t>
      </w:r>
      <w:proofErr w:type="spellStart"/>
      <w:r w:rsidRPr="00FB607D">
        <w:rPr>
          <w:rFonts w:ascii="Bookman Old Style" w:hAnsi="Bookman Old Style" w:cs="Times New Roman"/>
        </w:rPr>
        <w:t>autorizzatori</w:t>
      </w:r>
      <w:r w:rsidR="00097714" w:rsidRPr="00FB607D">
        <w:rPr>
          <w:rFonts w:ascii="Bookman Old Style" w:hAnsi="Bookman Old Style" w:cs="Times New Roman"/>
        </w:rPr>
        <w:t>o</w:t>
      </w:r>
      <w:proofErr w:type="spellEnd"/>
      <w:r w:rsidR="00950463" w:rsidRPr="00FB607D">
        <w:rPr>
          <w:rFonts w:ascii="Bookman Old Style" w:hAnsi="Bookman Old Style" w:cs="Times New Roman"/>
        </w:rPr>
        <w:t xml:space="preserve"> s</w:t>
      </w:r>
      <w:r w:rsidRPr="00FB607D">
        <w:rPr>
          <w:rFonts w:ascii="Bookman Old Style" w:hAnsi="Bookman Old Style" w:cs="Times New Roman"/>
        </w:rPr>
        <w:t>emplificato,</w:t>
      </w:r>
      <w:r w:rsidRPr="001E6E52">
        <w:rPr>
          <w:rFonts w:ascii="Bookman Old Style" w:hAnsi="Bookman Old Style" w:cs="Times New Roman"/>
        </w:rPr>
        <w:t xml:space="preserve"> consentendo</w:t>
      </w:r>
      <w:r w:rsidR="00307989">
        <w:rPr>
          <w:rFonts w:ascii="Bookman Old Style" w:hAnsi="Bookman Old Style" w:cs="Times New Roman"/>
          <w:strike/>
        </w:rPr>
        <w:t xml:space="preserve">, </w:t>
      </w:r>
      <w:r w:rsidR="004C05B8" w:rsidRPr="006F0689">
        <w:rPr>
          <w:rFonts w:ascii="Bookman Old Style" w:hAnsi="Bookman Old Style" w:cs="Times New Roman"/>
        </w:rPr>
        <w:t>per alcuni casi in luogo della richiesta del permesso di costruire</w:t>
      </w:r>
      <w:r w:rsidR="00307989">
        <w:rPr>
          <w:rFonts w:ascii="Bookman Old Style" w:hAnsi="Bookman Old Style" w:cs="Times New Roman"/>
        </w:rPr>
        <w:t>,</w:t>
      </w:r>
      <w:r w:rsidR="004C05B8" w:rsidRPr="006F0689">
        <w:rPr>
          <w:rFonts w:ascii="Bookman Old Style" w:hAnsi="Bookman Old Style" w:cs="Times New Roman"/>
        </w:rPr>
        <w:t xml:space="preserve"> la presentazione di una SCIA o di una SCIA sostitutiva</w:t>
      </w:r>
      <w:r w:rsidR="001E6E52" w:rsidRPr="006F0689">
        <w:rPr>
          <w:rFonts w:ascii="Bookman Old Style" w:hAnsi="Bookman Old Style" w:cs="Times New Roman"/>
        </w:rPr>
        <w:t xml:space="preserve">. Tale semplificazione è intervenuta </w:t>
      </w:r>
      <w:r w:rsidR="001E6E52" w:rsidRPr="00003E6D">
        <w:rPr>
          <w:rFonts w:ascii="Bookman Old Style" w:hAnsi="Bookman Old Style" w:cs="Times New Roman"/>
          <w:u w:val="single"/>
        </w:rPr>
        <w:t>a seguito della</w:t>
      </w:r>
      <w:r w:rsidR="004C05B8" w:rsidRPr="00003E6D">
        <w:rPr>
          <w:rFonts w:ascii="Bookman Old Style" w:hAnsi="Bookman Old Style" w:cs="Times New Roman"/>
          <w:u w:val="single"/>
        </w:rPr>
        <w:t xml:space="preserve"> modifica </w:t>
      </w:r>
      <w:r w:rsidR="001E6E52" w:rsidRPr="00003E6D">
        <w:rPr>
          <w:rFonts w:ascii="Bookman Old Style" w:hAnsi="Bookman Old Style" w:cs="Times New Roman"/>
          <w:u w:val="single"/>
        </w:rPr>
        <w:t>del</w:t>
      </w:r>
      <w:r w:rsidR="004C05B8" w:rsidRPr="00003E6D">
        <w:rPr>
          <w:rFonts w:ascii="Bookman Old Style" w:hAnsi="Bookman Old Style" w:cs="Times New Roman"/>
          <w:u w:val="single"/>
        </w:rPr>
        <w:t xml:space="preserve">la definizione di ristrutturazione edilizia </w:t>
      </w:r>
      <w:r w:rsidR="001E6E52" w:rsidRPr="00003E6D">
        <w:rPr>
          <w:rFonts w:ascii="Bookman Old Style" w:hAnsi="Bookman Old Style" w:cs="Times New Roman"/>
          <w:u w:val="single"/>
        </w:rPr>
        <w:t>ricomprendendo</w:t>
      </w:r>
      <w:r w:rsidR="00003E6D" w:rsidRPr="00003E6D">
        <w:rPr>
          <w:rFonts w:ascii="Bookman Old Style" w:hAnsi="Bookman Old Style" w:cs="Times New Roman"/>
          <w:u w:val="single"/>
        </w:rPr>
        <w:t xml:space="preserve">vi </w:t>
      </w:r>
      <w:r w:rsidR="007A1AAF" w:rsidRPr="00003E6D">
        <w:rPr>
          <w:rFonts w:ascii="Bookman Old Style" w:hAnsi="Bookman Old Style" w:cs="Times New Roman"/>
          <w:u w:val="single"/>
        </w:rPr>
        <w:t>a</w:t>
      </w:r>
      <w:r w:rsidR="007A1AAF" w:rsidRPr="00FB607D">
        <w:rPr>
          <w:rFonts w:ascii="Bookman Old Style" w:hAnsi="Bookman Old Style" w:cs="Times New Roman"/>
          <w:u w:val="single"/>
        </w:rPr>
        <w:t>nche</w:t>
      </w:r>
      <w:r w:rsidRPr="00FB607D">
        <w:rPr>
          <w:rFonts w:ascii="Bookman Old Style" w:hAnsi="Bookman Old Style" w:cs="Times New Roman"/>
          <w:u w:val="single"/>
        </w:rPr>
        <w:t xml:space="preserve"> gli interventi di</w:t>
      </w:r>
      <w:r w:rsidRPr="00FB607D">
        <w:rPr>
          <w:rFonts w:ascii="Bookman Old Style" w:hAnsi="Bookman Old Style" w:cs="Times New Roman"/>
        </w:rPr>
        <w:t xml:space="preserve"> </w:t>
      </w:r>
      <w:r w:rsidRPr="00FB607D">
        <w:rPr>
          <w:rFonts w:ascii="Bookman Old Style" w:hAnsi="Bookman Old Style" w:cs="Times New Roman"/>
          <w:b/>
          <w:u w:val="single"/>
        </w:rPr>
        <w:t>demolizione e ricostruzione con divers</w:t>
      </w:r>
      <w:r w:rsidR="00BB583B" w:rsidRPr="00FB607D">
        <w:rPr>
          <w:rFonts w:ascii="Bookman Old Style" w:hAnsi="Bookman Old Style" w:cs="Times New Roman"/>
          <w:b/>
          <w:u w:val="single"/>
        </w:rPr>
        <w:t>a</w:t>
      </w:r>
      <w:r w:rsidRPr="00FB607D">
        <w:rPr>
          <w:rFonts w:ascii="Bookman Old Style" w:hAnsi="Bookman Old Style" w:cs="Times New Roman"/>
          <w:b/>
          <w:u w:val="single"/>
        </w:rPr>
        <w:t xml:space="preserve"> sagoma, prospetti, sedime e caratteristiche planivolumetriche e tipologiche</w:t>
      </w:r>
      <w:r w:rsidR="000C5C42" w:rsidRPr="00FB607D">
        <w:rPr>
          <w:rFonts w:ascii="Bookman Old Style" w:hAnsi="Bookman Old Style" w:cs="Times New Roman"/>
          <w:b/>
          <w:u w:val="single"/>
        </w:rPr>
        <w:t xml:space="preserve"> finalizzati non solo alle innovazioni necessarie </w:t>
      </w:r>
      <w:r w:rsidRPr="00FB607D">
        <w:rPr>
          <w:rFonts w:ascii="Bookman Old Style" w:hAnsi="Bookman Old Style" w:cs="Times New Roman"/>
          <w:b/>
          <w:u w:val="single"/>
        </w:rPr>
        <w:t>per l’adeguamento alla normativa antisismica</w:t>
      </w:r>
      <w:r w:rsidR="000C5C42" w:rsidRPr="00FB607D">
        <w:rPr>
          <w:rFonts w:ascii="Bookman Old Style" w:hAnsi="Bookman Old Style" w:cs="Times New Roman"/>
          <w:b/>
          <w:u w:val="single"/>
        </w:rPr>
        <w:t xml:space="preserve"> (fattispecie già consentita) ma anche per </w:t>
      </w:r>
      <w:r w:rsidRPr="00FB607D">
        <w:rPr>
          <w:rFonts w:ascii="Bookman Old Style" w:hAnsi="Bookman Old Style" w:cs="Times New Roman"/>
          <w:b/>
          <w:u w:val="single"/>
        </w:rPr>
        <w:t>l’applicazione della normativa sull’accessibilità, per l’istallazione di impianti tecnologici</w:t>
      </w:r>
      <w:r w:rsidR="009D43F2" w:rsidRPr="00FB607D">
        <w:rPr>
          <w:rFonts w:ascii="Bookman Old Style" w:hAnsi="Bookman Old Style" w:cs="Times New Roman"/>
          <w:b/>
          <w:u w:val="single"/>
        </w:rPr>
        <w:t xml:space="preserve">, </w:t>
      </w:r>
      <w:r w:rsidRPr="00FB607D">
        <w:rPr>
          <w:rFonts w:ascii="Bookman Old Style" w:hAnsi="Bookman Old Style" w:cs="Times New Roman"/>
          <w:b/>
          <w:u w:val="single"/>
        </w:rPr>
        <w:t>per l’</w:t>
      </w:r>
      <w:proofErr w:type="spellStart"/>
      <w:r w:rsidRPr="00FB607D">
        <w:rPr>
          <w:rFonts w:ascii="Bookman Old Style" w:hAnsi="Bookman Old Style" w:cs="Times New Roman"/>
          <w:b/>
          <w:u w:val="single"/>
        </w:rPr>
        <w:t>efficientamento</w:t>
      </w:r>
      <w:proofErr w:type="spellEnd"/>
      <w:r w:rsidRPr="00FB607D">
        <w:rPr>
          <w:rFonts w:ascii="Bookman Old Style" w:hAnsi="Bookman Old Style" w:cs="Times New Roman"/>
          <w:b/>
          <w:u w:val="single"/>
        </w:rPr>
        <w:t xml:space="preserve"> energetico</w:t>
      </w:r>
      <w:r w:rsidR="00BB583B" w:rsidRPr="00FB607D">
        <w:rPr>
          <w:rFonts w:ascii="Bookman Old Style" w:hAnsi="Bookman Old Style" w:cs="Times New Roman"/>
          <w:b/>
          <w:u w:val="single"/>
        </w:rPr>
        <w:t>,</w:t>
      </w:r>
      <w:r w:rsidR="009D43F2" w:rsidRPr="00FB607D">
        <w:rPr>
          <w:rFonts w:ascii="Bookman Old Style" w:hAnsi="Bookman Old Style" w:cs="Times New Roman"/>
          <w:b/>
          <w:u w:val="single"/>
        </w:rPr>
        <w:t xml:space="preserve"> </w:t>
      </w:r>
      <w:proofErr w:type="spellStart"/>
      <w:r w:rsidR="009D43F2" w:rsidRPr="00FB607D">
        <w:rPr>
          <w:rFonts w:ascii="Bookman Old Style" w:hAnsi="Bookman Old Style" w:cs="Times New Roman"/>
          <w:b/>
          <w:u w:val="single"/>
        </w:rPr>
        <w:t>non</w:t>
      </w:r>
      <w:r w:rsidR="009759C3" w:rsidRPr="00FB607D">
        <w:rPr>
          <w:rFonts w:ascii="Bookman Old Style" w:hAnsi="Bookman Old Style" w:cs="Times New Roman"/>
          <w:b/>
          <w:u w:val="single"/>
        </w:rPr>
        <w:t>chè</w:t>
      </w:r>
      <w:proofErr w:type="spellEnd"/>
      <w:r w:rsidR="009759C3" w:rsidRPr="00FB607D">
        <w:rPr>
          <w:rFonts w:ascii="Bookman Old Style" w:hAnsi="Bookman Old Style" w:cs="Times New Roman"/>
          <w:b/>
          <w:u w:val="single"/>
        </w:rPr>
        <w:t xml:space="preserve"> aumenti di volumetria</w:t>
      </w:r>
      <w:r w:rsidR="009D43F2" w:rsidRPr="00FB607D">
        <w:rPr>
          <w:rFonts w:ascii="Bookman Old Style" w:hAnsi="Bookman Old Style" w:cs="Times New Roman"/>
          <w:b/>
          <w:u w:val="single"/>
        </w:rPr>
        <w:t xml:space="preserve"> finalizzati all</w:t>
      </w:r>
      <w:r w:rsidR="009759C3" w:rsidRPr="00FB607D">
        <w:rPr>
          <w:rFonts w:ascii="Bookman Old Style" w:hAnsi="Bookman Old Style" w:cs="Times New Roman"/>
          <w:b/>
          <w:u w:val="single"/>
        </w:rPr>
        <w:t>a realizzazione di interventi di rigenerazione urbana</w:t>
      </w:r>
      <w:r w:rsidR="004C05B8">
        <w:rPr>
          <w:rFonts w:ascii="Bookman Old Style" w:hAnsi="Bookman Old Style" w:cs="Times New Roman"/>
          <w:b/>
          <w:u w:val="single"/>
        </w:rPr>
        <w:t>.</w:t>
      </w:r>
      <w:r w:rsidR="009759C3" w:rsidRPr="00FB607D">
        <w:rPr>
          <w:rFonts w:ascii="Bookman Old Style" w:hAnsi="Bookman Old Style" w:cs="Times New Roman"/>
          <w:b/>
          <w:u w:val="single"/>
        </w:rPr>
        <w:t xml:space="preserve"> </w:t>
      </w:r>
      <w:r w:rsidR="007A1AAF" w:rsidRPr="00FB607D">
        <w:rPr>
          <w:rFonts w:ascii="Bookman Old Style" w:hAnsi="Bookman Old Style" w:cs="Times New Roman"/>
          <w:b/>
          <w:u w:val="single"/>
        </w:rPr>
        <w:t xml:space="preserve"> </w:t>
      </w:r>
    </w:p>
    <w:p w:rsidR="009759C3" w:rsidRPr="00603B93" w:rsidRDefault="00A3557B" w:rsidP="00BB2471">
      <w:pPr>
        <w:spacing w:line="360" w:lineRule="auto"/>
        <w:jc w:val="both"/>
        <w:rPr>
          <w:rFonts w:ascii="Bookman Old Style" w:hAnsi="Bookman Old Style" w:cs="Times New Roman"/>
          <w:b/>
          <w:i/>
          <w:u w:val="single"/>
        </w:rPr>
      </w:pPr>
      <w:r>
        <w:rPr>
          <w:rFonts w:ascii="Bookman Old Style" w:hAnsi="Bookman Old Style" w:cs="Times New Roman"/>
          <w:b/>
          <w:i/>
        </w:rPr>
        <w:t>Inoltre si evidenzia che l</w:t>
      </w:r>
      <w:r w:rsidR="000C5C42" w:rsidRPr="006F0689">
        <w:rPr>
          <w:rFonts w:ascii="Bookman Old Style" w:hAnsi="Bookman Old Style" w:cs="Times New Roman"/>
          <w:b/>
          <w:i/>
        </w:rPr>
        <w:t xml:space="preserve">’ultimo periodo della </w:t>
      </w:r>
      <w:proofErr w:type="spellStart"/>
      <w:r w:rsidR="000C5C42" w:rsidRPr="006F0689">
        <w:rPr>
          <w:rFonts w:ascii="Bookman Old Style" w:hAnsi="Bookman Old Style" w:cs="Times New Roman"/>
          <w:b/>
          <w:i/>
        </w:rPr>
        <w:t>surriportata</w:t>
      </w:r>
      <w:proofErr w:type="spellEnd"/>
      <w:r w:rsidR="009759C3" w:rsidRPr="006F0689">
        <w:rPr>
          <w:rFonts w:ascii="Bookman Old Style" w:hAnsi="Bookman Old Style" w:cs="Times New Roman"/>
          <w:b/>
          <w:i/>
        </w:rPr>
        <w:t xml:space="preserve"> norma</w:t>
      </w:r>
      <w:r w:rsidR="000C5C42" w:rsidRPr="006F0689">
        <w:rPr>
          <w:rFonts w:ascii="Bookman Old Style" w:hAnsi="Bookman Old Style" w:cs="Times New Roman"/>
          <w:b/>
          <w:i/>
        </w:rPr>
        <w:t xml:space="preserve"> </w:t>
      </w:r>
      <w:r w:rsidR="000C5C42" w:rsidRPr="00603B93">
        <w:rPr>
          <w:rFonts w:ascii="Bookman Old Style" w:hAnsi="Bookman Old Style" w:cs="Times New Roman"/>
          <w:b/>
          <w:i/>
          <w:u w:val="single"/>
        </w:rPr>
        <w:t>esclude</w:t>
      </w:r>
      <w:r w:rsidR="009759C3" w:rsidRPr="00603B93">
        <w:rPr>
          <w:rFonts w:ascii="Bookman Old Style" w:hAnsi="Bookman Old Style" w:cs="Times New Roman"/>
          <w:b/>
          <w:i/>
          <w:u w:val="single"/>
        </w:rPr>
        <w:t xml:space="preserve"> </w:t>
      </w:r>
      <w:r w:rsidR="00307989">
        <w:rPr>
          <w:rFonts w:ascii="Bookman Old Style" w:hAnsi="Bookman Old Style" w:cs="Times New Roman"/>
          <w:b/>
          <w:i/>
          <w:u w:val="single"/>
        </w:rPr>
        <w:t xml:space="preserve">da tale fattispecie </w:t>
      </w:r>
      <w:r w:rsidR="009759C3" w:rsidRPr="00603B93">
        <w:rPr>
          <w:rFonts w:ascii="Bookman Old Style" w:hAnsi="Bookman Old Style" w:cs="Times New Roman"/>
          <w:b/>
          <w:i/>
          <w:u w:val="single"/>
        </w:rPr>
        <w:t>gli immobili sottoposti a vincoli dal Codice dei Beni Culturali e quelli situati nei centri storici.</w:t>
      </w:r>
    </w:p>
    <w:p w:rsidR="009759C3" w:rsidRPr="00FB607D" w:rsidRDefault="009759C3" w:rsidP="00BB2471">
      <w:pPr>
        <w:spacing w:line="360" w:lineRule="auto"/>
        <w:jc w:val="both"/>
        <w:rPr>
          <w:rFonts w:ascii="Bookman Old Style" w:hAnsi="Bookman Old Style" w:cs="Times New Roman"/>
        </w:rPr>
      </w:pPr>
      <w:r w:rsidRPr="00FB607D">
        <w:rPr>
          <w:rFonts w:ascii="Bookman Old Style" w:hAnsi="Bookman Old Style" w:cs="Times New Roman"/>
        </w:rPr>
        <w:t xml:space="preserve">Ed è proprio su questa esclusione che si sono riscontrate le maggiori criticità con approdi ermeneutici non sempre omogenei. </w:t>
      </w:r>
    </w:p>
    <w:p w:rsidR="009759C3" w:rsidRPr="006F0689" w:rsidRDefault="009759C3" w:rsidP="00BB2471">
      <w:pPr>
        <w:spacing w:line="360" w:lineRule="auto"/>
        <w:jc w:val="both"/>
        <w:rPr>
          <w:rFonts w:ascii="Bookman Old Style" w:hAnsi="Bookman Old Style" w:cs="Times New Roman"/>
          <w:b/>
        </w:rPr>
      </w:pPr>
      <w:r w:rsidRPr="006F0689">
        <w:rPr>
          <w:rFonts w:ascii="Bookman Old Style" w:hAnsi="Bookman Old Style" w:cs="Times New Roman"/>
          <w:b/>
        </w:rPr>
        <w:t xml:space="preserve">Su tale punto </w:t>
      </w:r>
      <w:r w:rsidR="00162EE2" w:rsidRPr="006F0689">
        <w:rPr>
          <w:rFonts w:ascii="Bookman Old Style" w:hAnsi="Bookman Old Style" w:cs="Times New Roman"/>
          <w:b/>
        </w:rPr>
        <w:t xml:space="preserve">dunque, </w:t>
      </w:r>
      <w:r w:rsidRPr="006F0689">
        <w:rPr>
          <w:rFonts w:ascii="Bookman Old Style" w:hAnsi="Bookman Old Style" w:cs="Times New Roman"/>
          <w:b/>
        </w:rPr>
        <w:t xml:space="preserve">interviene il CLSP.    </w:t>
      </w:r>
      <w:r w:rsidR="000C5C42" w:rsidRPr="006F0689">
        <w:rPr>
          <w:rFonts w:ascii="Bookman Old Style" w:hAnsi="Bookman Old Style" w:cs="Times New Roman"/>
          <w:b/>
        </w:rPr>
        <w:t xml:space="preserve">  </w:t>
      </w:r>
    </w:p>
    <w:p w:rsidR="00A63658" w:rsidRPr="00FB607D" w:rsidRDefault="00A63658" w:rsidP="00BB2471">
      <w:pPr>
        <w:spacing w:line="360" w:lineRule="auto"/>
        <w:jc w:val="both"/>
        <w:rPr>
          <w:rFonts w:ascii="Bookman Old Style" w:hAnsi="Bookman Old Style" w:cs="Times New Roman"/>
        </w:rPr>
      </w:pPr>
      <w:r w:rsidRPr="00FB607D">
        <w:rPr>
          <w:rFonts w:ascii="Bookman Old Style" w:hAnsi="Bookman Old Style" w:cs="Times New Roman"/>
        </w:rPr>
        <w:t>Il CSLP, risponde</w:t>
      </w:r>
      <w:r w:rsidR="003D3AB3" w:rsidRPr="00FB607D">
        <w:rPr>
          <w:rFonts w:ascii="Bookman Old Style" w:hAnsi="Bookman Old Style" w:cs="Times New Roman"/>
        </w:rPr>
        <w:t xml:space="preserve"> alla</w:t>
      </w:r>
      <w:r w:rsidRPr="00FB607D">
        <w:rPr>
          <w:rFonts w:ascii="Bookman Old Style" w:hAnsi="Bookman Old Style" w:cs="Times New Roman"/>
        </w:rPr>
        <w:t xml:space="preserve"> richiesta di chiarimento di alcuni Comuni, relativamente alla corretta applicazione della modifica normativa apportata dal </w:t>
      </w:r>
      <w:r w:rsidR="00E4615D" w:rsidRPr="00FB607D">
        <w:rPr>
          <w:rFonts w:ascii="Bookman Old Style" w:hAnsi="Bookman Old Style" w:cs="Times New Roman"/>
        </w:rPr>
        <w:t>dl 76/2020</w:t>
      </w:r>
      <w:r w:rsidR="00AD06A2" w:rsidRPr="00FB607D">
        <w:rPr>
          <w:rFonts w:ascii="Bookman Old Style" w:hAnsi="Bookman Old Style" w:cs="Times New Roman"/>
        </w:rPr>
        <w:t>,</w:t>
      </w:r>
      <w:r w:rsidR="00E4615D" w:rsidRPr="00FB607D">
        <w:rPr>
          <w:rFonts w:ascii="Bookman Old Style" w:hAnsi="Bookman Old Style" w:cs="Times New Roman"/>
        </w:rPr>
        <w:t xml:space="preserve"> convertito con modifiche dalla legge 120/2020</w:t>
      </w:r>
      <w:r w:rsidR="00AD06A2" w:rsidRPr="00FB607D">
        <w:rPr>
          <w:rFonts w:ascii="Bookman Old Style" w:hAnsi="Bookman Old Style" w:cs="Times New Roman"/>
        </w:rPr>
        <w:t xml:space="preserve">, </w:t>
      </w:r>
      <w:r w:rsidRPr="00FB607D">
        <w:rPr>
          <w:rFonts w:ascii="Bookman Old Style" w:hAnsi="Bookman Old Style" w:cs="Times New Roman"/>
        </w:rPr>
        <w:t xml:space="preserve">all’art 3 comma 1) </w:t>
      </w:r>
      <w:proofErr w:type="spellStart"/>
      <w:r w:rsidRPr="00FB607D">
        <w:rPr>
          <w:rFonts w:ascii="Bookman Old Style" w:hAnsi="Bookman Old Style" w:cs="Times New Roman"/>
        </w:rPr>
        <w:t>lett</w:t>
      </w:r>
      <w:proofErr w:type="spellEnd"/>
      <w:r w:rsidRPr="00FB607D">
        <w:rPr>
          <w:rFonts w:ascii="Bookman Old Style" w:hAnsi="Bookman Old Style" w:cs="Times New Roman"/>
        </w:rPr>
        <w:t xml:space="preserve">. </w:t>
      </w:r>
      <w:r w:rsidRPr="00FB607D">
        <w:rPr>
          <w:rFonts w:ascii="Bookman Old Style" w:hAnsi="Bookman Old Style" w:cs="Times New Roman"/>
          <w:i/>
          <w:iCs/>
        </w:rPr>
        <w:t>d</w:t>
      </w:r>
      <w:r w:rsidRPr="00FB607D">
        <w:rPr>
          <w:rFonts w:ascii="Bookman Old Style" w:hAnsi="Bookman Old Style" w:cs="Times New Roman"/>
        </w:rPr>
        <w:t>) del D.P.R. 380/2001</w:t>
      </w:r>
      <w:r w:rsidR="00AD06A2" w:rsidRPr="00FB607D">
        <w:rPr>
          <w:rFonts w:ascii="Bookman Old Style" w:hAnsi="Bookman Old Style" w:cs="Times New Roman"/>
        </w:rPr>
        <w:t xml:space="preserve"> -</w:t>
      </w:r>
      <w:r w:rsidRPr="00FB607D">
        <w:rPr>
          <w:rFonts w:ascii="Bookman Old Style" w:hAnsi="Bookman Old Style" w:cs="Times New Roman"/>
        </w:rPr>
        <w:t xml:space="preserve"> anche alla luce della </w:t>
      </w:r>
      <w:r w:rsidRPr="00FB607D">
        <w:rPr>
          <w:rFonts w:ascii="Bookman Old Style" w:hAnsi="Bookman Old Style" w:cs="Times New Roman"/>
          <w:b/>
        </w:rPr>
        <w:t xml:space="preserve">Circolare del 2 dicembre 2020 del Ministero delle Infrastrutture e dei Trasporti </w:t>
      </w:r>
      <w:r w:rsidR="00E46B33" w:rsidRPr="00FB607D">
        <w:rPr>
          <w:rFonts w:ascii="Bookman Old Style" w:hAnsi="Bookman Old Style" w:cs="Times New Roman"/>
          <w:b/>
        </w:rPr>
        <w:t xml:space="preserve">(adesso MIMS) </w:t>
      </w:r>
      <w:r w:rsidRPr="00FB607D">
        <w:rPr>
          <w:rFonts w:ascii="Bookman Old Style" w:hAnsi="Bookman Old Style" w:cs="Times New Roman"/>
          <w:b/>
        </w:rPr>
        <w:t>e Ministero della Pubblica Amministrazione</w:t>
      </w:r>
      <w:r w:rsidR="00AD06A2" w:rsidRPr="00FB607D">
        <w:rPr>
          <w:rFonts w:ascii="Bookman Old Style" w:hAnsi="Bookman Old Style" w:cs="Times New Roman"/>
          <w:b/>
        </w:rPr>
        <w:t xml:space="preserve"> </w:t>
      </w:r>
      <w:r w:rsidR="00AD06A2" w:rsidRPr="00FB607D">
        <w:rPr>
          <w:rFonts w:ascii="Bookman Old Style" w:hAnsi="Bookman Old Style" w:cs="Times New Roman"/>
        </w:rPr>
        <w:t>-</w:t>
      </w:r>
      <w:r w:rsidRPr="00FB607D">
        <w:rPr>
          <w:rFonts w:ascii="Bookman Old Style" w:hAnsi="Bookman Old Style" w:cs="Times New Roman"/>
        </w:rPr>
        <w:t xml:space="preserve"> in merito </w:t>
      </w:r>
      <w:r w:rsidRPr="00FB607D">
        <w:rPr>
          <w:rFonts w:ascii="Bookman Old Style" w:hAnsi="Bookman Old Style" w:cs="Times New Roman"/>
          <w:bCs/>
        </w:rPr>
        <w:t>agli interventi di ristrutturazione edilizia in zone sottoposte a vincolo paesaggistico ai sensi della parte III del codice dei beni culturali, sebbene privi di valore storico,</w:t>
      </w:r>
      <w:r w:rsidRPr="00FB607D">
        <w:rPr>
          <w:rFonts w:ascii="Bookman Old Style" w:hAnsi="Bookman Old Style" w:cs="Times New Roman"/>
        </w:rPr>
        <w:t xml:space="preserve"> </w:t>
      </w:r>
      <w:r w:rsidRPr="00FB607D">
        <w:rPr>
          <w:rFonts w:ascii="Bookman Old Style" w:hAnsi="Bookman Old Style" w:cs="Times New Roman"/>
          <w:bCs/>
        </w:rPr>
        <w:t xml:space="preserve">artistico o </w:t>
      </w:r>
      <w:r w:rsidRPr="00FB607D">
        <w:rPr>
          <w:rFonts w:ascii="Bookman Old Style" w:hAnsi="Bookman Old Style" w:cs="Times New Roman"/>
          <w:bCs/>
        </w:rPr>
        <w:lastRenderedPageBreak/>
        <w:t>architettonico intrinseco</w:t>
      </w:r>
      <w:r w:rsidRPr="00FB607D">
        <w:rPr>
          <w:rFonts w:ascii="Bookman Old Style" w:hAnsi="Bookman Old Style" w:cs="Times New Roman"/>
          <w:b/>
          <w:bCs/>
        </w:rPr>
        <w:t>,</w:t>
      </w:r>
      <w:r w:rsidRPr="00FB607D">
        <w:rPr>
          <w:rFonts w:ascii="Bookman Old Style" w:hAnsi="Bookman Old Style" w:cs="Times New Roman"/>
        </w:rPr>
        <w:t xml:space="preserve"> </w:t>
      </w:r>
      <w:r w:rsidRPr="00FB607D">
        <w:rPr>
          <w:rFonts w:ascii="Bookman Old Style" w:hAnsi="Bookman Old Style" w:cs="Times New Roman"/>
          <w:u w:val="single"/>
        </w:rPr>
        <w:t xml:space="preserve">circa la possibilità di intervenire con </w:t>
      </w:r>
      <w:r w:rsidR="00162EE2" w:rsidRPr="00FB607D">
        <w:rPr>
          <w:rFonts w:ascii="Bookman Old Style" w:hAnsi="Bookman Old Style" w:cs="Times New Roman"/>
          <w:u w:val="single"/>
        </w:rPr>
        <w:t xml:space="preserve">attività di </w:t>
      </w:r>
      <w:r w:rsidRPr="00FB607D">
        <w:rPr>
          <w:rFonts w:ascii="Bookman Old Style" w:hAnsi="Bookman Old Style" w:cs="Times New Roman"/>
          <w:u w:val="single"/>
        </w:rPr>
        <w:t xml:space="preserve">demolizione e ricostruzione </w:t>
      </w:r>
      <w:r w:rsidR="00162EE2" w:rsidRPr="00FB607D">
        <w:rPr>
          <w:rFonts w:ascii="Bookman Old Style" w:hAnsi="Bookman Old Style" w:cs="Times New Roman"/>
          <w:u w:val="single"/>
        </w:rPr>
        <w:t xml:space="preserve">di edifici preesistenti </w:t>
      </w:r>
      <w:r w:rsidRPr="00FB607D">
        <w:rPr>
          <w:rFonts w:ascii="Bookman Old Style" w:hAnsi="Bookman Old Style" w:cs="Times New Roman"/>
          <w:u w:val="single"/>
        </w:rPr>
        <w:t>classificabil</w:t>
      </w:r>
      <w:r w:rsidR="00162EE2" w:rsidRPr="00FB607D">
        <w:rPr>
          <w:rFonts w:ascii="Bookman Old Style" w:hAnsi="Bookman Old Style" w:cs="Times New Roman"/>
          <w:u w:val="single"/>
        </w:rPr>
        <w:t>e</w:t>
      </w:r>
      <w:r w:rsidRPr="00FB607D">
        <w:rPr>
          <w:rFonts w:ascii="Bookman Old Style" w:hAnsi="Bookman Old Style" w:cs="Times New Roman"/>
          <w:u w:val="single"/>
        </w:rPr>
        <w:t xml:space="preserve"> come </w:t>
      </w:r>
      <w:r w:rsidRPr="001E6E52">
        <w:rPr>
          <w:rFonts w:ascii="Bookman Old Style" w:hAnsi="Bookman Old Style" w:cs="Times New Roman"/>
          <w:i/>
          <w:iCs/>
          <w:u w:val="single"/>
        </w:rPr>
        <w:t>“ricostruzione</w:t>
      </w:r>
      <w:r w:rsidRPr="00FB607D">
        <w:rPr>
          <w:rFonts w:ascii="Bookman Old Style" w:hAnsi="Bookman Old Style" w:cs="Times New Roman"/>
          <w:i/>
          <w:iCs/>
          <w:u w:val="single"/>
        </w:rPr>
        <w:t xml:space="preserve"> edilizia </w:t>
      </w:r>
      <w:r w:rsidRPr="00FB607D">
        <w:rPr>
          <w:rFonts w:ascii="Bookman Old Style" w:hAnsi="Bookman Old Style" w:cs="Times New Roman"/>
          <w:b/>
          <w:i/>
          <w:iCs/>
          <w:u w:val="single"/>
        </w:rPr>
        <w:t>anche</w:t>
      </w:r>
      <w:r w:rsidRPr="00FB607D">
        <w:rPr>
          <w:rFonts w:ascii="Bookman Old Style" w:hAnsi="Bookman Old Style" w:cs="Times New Roman"/>
          <w:i/>
          <w:iCs/>
          <w:u w:val="single"/>
        </w:rPr>
        <w:t xml:space="preserve"> con la modifica di sagoma, sedime, prospetti e volume preesistente</w:t>
      </w:r>
      <w:r w:rsidR="009759C3" w:rsidRPr="00FB607D">
        <w:rPr>
          <w:rFonts w:ascii="Bookman Old Style" w:hAnsi="Bookman Old Style" w:cs="Times New Roman"/>
        </w:rPr>
        <w:t>”</w:t>
      </w:r>
    </w:p>
    <w:p w:rsidR="00A63658" w:rsidRPr="00A94A24" w:rsidRDefault="000446B3" w:rsidP="00BB2471">
      <w:pPr>
        <w:spacing w:line="360" w:lineRule="auto"/>
        <w:jc w:val="both"/>
        <w:rPr>
          <w:rFonts w:ascii="Bookman Old Style" w:hAnsi="Bookman Old Style" w:cs="Times New Roman"/>
        </w:rPr>
      </w:pPr>
      <w:r w:rsidRPr="00A94A24">
        <w:rPr>
          <w:rFonts w:ascii="Bookman Old Style" w:hAnsi="Bookman Old Style" w:cs="Times New Roman"/>
        </w:rPr>
        <w:t xml:space="preserve">Tale chiarimento </w:t>
      </w:r>
      <w:r w:rsidR="009759C3" w:rsidRPr="00A94A24">
        <w:rPr>
          <w:rFonts w:ascii="Bookman Old Style" w:hAnsi="Bookman Old Style" w:cs="Times New Roman"/>
        </w:rPr>
        <w:t>–</w:t>
      </w:r>
      <w:r w:rsidR="00A94A24" w:rsidRPr="00A94A24">
        <w:rPr>
          <w:rFonts w:ascii="Bookman Old Style" w:hAnsi="Bookman Old Style" w:cs="Times New Roman"/>
        </w:rPr>
        <w:t xml:space="preserve"> già oggetto della circolare ministeriale </w:t>
      </w:r>
      <w:r w:rsidR="00A94A24">
        <w:rPr>
          <w:rFonts w:ascii="Bookman Old Style" w:hAnsi="Bookman Old Style" w:cs="Times New Roman"/>
        </w:rPr>
        <w:t xml:space="preserve">surricordata </w:t>
      </w:r>
      <w:r w:rsidR="00A94A24" w:rsidRPr="00A94A24">
        <w:rPr>
          <w:rFonts w:ascii="Bookman Old Style" w:hAnsi="Bookman Old Style" w:cs="Times New Roman"/>
        </w:rPr>
        <w:t xml:space="preserve">- </w:t>
      </w:r>
      <w:r w:rsidR="00A34FBB" w:rsidRPr="00A94A24">
        <w:rPr>
          <w:rFonts w:ascii="Bookman Old Style" w:hAnsi="Bookman Old Style" w:cs="Times New Roman"/>
        </w:rPr>
        <w:t xml:space="preserve"> </w:t>
      </w:r>
      <w:r w:rsidR="009759C3" w:rsidRPr="00A94A24">
        <w:rPr>
          <w:rFonts w:ascii="Bookman Old Style" w:hAnsi="Bookman Old Style" w:cs="Times New Roman"/>
        </w:rPr>
        <w:t xml:space="preserve"> </w:t>
      </w:r>
      <w:r w:rsidRPr="00A94A24">
        <w:rPr>
          <w:rFonts w:ascii="Bookman Old Style" w:hAnsi="Bookman Old Style" w:cs="Times New Roman"/>
        </w:rPr>
        <w:t>riguardava l</w:t>
      </w:r>
      <w:r w:rsidR="000C5287" w:rsidRPr="00A94A24">
        <w:rPr>
          <w:rFonts w:ascii="Bookman Old Style" w:hAnsi="Bookman Old Style" w:cs="Times New Roman"/>
        </w:rPr>
        <w:t xml:space="preserve">a possibilità o meno </w:t>
      </w:r>
      <w:r w:rsidR="00A63658" w:rsidRPr="00A94A24">
        <w:rPr>
          <w:rFonts w:ascii="Bookman Old Style" w:hAnsi="Bookman Old Style" w:cs="Times New Roman"/>
        </w:rPr>
        <w:t>per gli immobili</w:t>
      </w:r>
      <w:r w:rsidR="00A34FBB" w:rsidRPr="00A94A24">
        <w:rPr>
          <w:rFonts w:ascii="Bookman Old Style" w:hAnsi="Bookman Old Style" w:cs="Times New Roman"/>
        </w:rPr>
        <w:t xml:space="preserve"> situati in ambiti</w:t>
      </w:r>
      <w:r w:rsidR="00A63658" w:rsidRPr="00A94A24">
        <w:rPr>
          <w:rFonts w:ascii="Bookman Old Style" w:hAnsi="Bookman Old Style" w:cs="Times New Roman"/>
        </w:rPr>
        <w:t xml:space="preserve"> sottoposti ai vincoli di cui alla parte III del </w:t>
      </w:r>
      <w:proofErr w:type="spellStart"/>
      <w:r w:rsidR="00A63658" w:rsidRPr="00A94A24">
        <w:rPr>
          <w:rFonts w:ascii="Bookman Old Style" w:hAnsi="Bookman Old Style" w:cs="Times New Roman"/>
        </w:rPr>
        <w:t>d.lgs</w:t>
      </w:r>
      <w:proofErr w:type="spellEnd"/>
      <w:r w:rsidR="00A63658" w:rsidRPr="00A94A24">
        <w:rPr>
          <w:rFonts w:ascii="Bookman Old Style" w:hAnsi="Bookman Old Style" w:cs="Times New Roman"/>
        </w:rPr>
        <w:t xml:space="preserve"> 42/2004</w:t>
      </w:r>
      <w:r w:rsidR="00A34FBB" w:rsidRPr="00A94A24">
        <w:rPr>
          <w:rFonts w:ascii="Bookman Old Style" w:hAnsi="Bookman Old Style" w:cs="Times New Roman"/>
        </w:rPr>
        <w:t>, di applicare la nuova definizione di ristrutturazione edilizia, consentendo in alcuni casi l’applicazione della disciplina della SC</w:t>
      </w:r>
      <w:r w:rsidR="00001FF1" w:rsidRPr="00A94A24">
        <w:rPr>
          <w:rFonts w:ascii="Bookman Old Style" w:hAnsi="Bookman Old Style" w:cs="Times New Roman"/>
        </w:rPr>
        <w:t>I</w:t>
      </w:r>
      <w:r w:rsidR="00A34FBB" w:rsidRPr="00A94A24">
        <w:rPr>
          <w:rFonts w:ascii="Bookman Old Style" w:hAnsi="Bookman Old Style" w:cs="Times New Roman"/>
        </w:rPr>
        <w:t xml:space="preserve">A o della SCIA alternativa al </w:t>
      </w:r>
      <w:proofErr w:type="spellStart"/>
      <w:r w:rsidR="00A34FBB" w:rsidRPr="00A94A24">
        <w:rPr>
          <w:rFonts w:ascii="Bookman Old Style" w:hAnsi="Bookman Old Style" w:cs="Times New Roman"/>
        </w:rPr>
        <w:t>PdC</w:t>
      </w:r>
      <w:proofErr w:type="spellEnd"/>
      <w:r w:rsidR="00A34FBB" w:rsidRPr="00A94A24">
        <w:rPr>
          <w:rFonts w:ascii="Bookman Old Style" w:hAnsi="Bookman Old Style" w:cs="Times New Roman"/>
        </w:rPr>
        <w:t xml:space="preserve">. </w:t>
      </w:r>
      <w:r w:rsidR="00A63658" w:rsidRPr="00A94A24">
        <w:rPr>
          <w:rFonts w:ascii="Bookman Old Style" w:hAnsi="Bookman Old Style" w:cs="Times New Roman"/>
        </w:rPr>
        <w:t xml:space="preserve"> </w:t>
      </w:r>
    </w:p>
    <w:p w:rsidR="00A63658" w:rsidRPr="00FB607D" w:rsidRDefault="00A63658" w:rsidP="00BB2471">
      <w:pPr>
        <w:spacing w:line="360" w:lineRule="auto"/>
        <w:jc w:val="both"/>
        <w:rPr>
          <w:rFonts w:ascii="Bookman Old Style" w:hAnsi="Bookman Old Style" w:cs="Times New Roman"/>
        </w:rPr>
      </w:pPr>
      <w:r w:rsidRPr="00FB607D">
        <w:rPr>
          <w:rFonts w:ascii="Bookman Old Style" w:hAnsi="Bookman Old Style" w:cs="Times New Roman"/>
        </w:rPr>
        <w:t>In merito</w:t>
      </w:r>
      <w:r w:rsidR="000C5287" w:rsidRPr="00FB607D">
        <w:rPr>
          <w:rFonts w:ascii="Bookman Old Style" w:hAnsi="Bookman Old Style" w:cs="Times New Roman"/>
        </w:rPr>
        <w:t>,</w:t>
      </w:r>
      <w:r w:rsidR="001D4E9E" w:rsidRPr="00FB607D">
        <w:rPr>
          <w:rFonts w:ascii="Bookman Old Style" w:hAnsi="Bookman Old Style" w:cs="Times New Roman"/>
        </w:rPr>
        <w:t xml:space="preserve"> </w:t>
      </w:r>
      <w:r w:rsidRPr="00FB607D">
        <w:rPr>
          <w:rFonts w:ascii="Bookman Old Style" w:hAnsi="Bookman Old Style" w:cs="Times New Roman"/>
        </w:rPr>
        <w:t xml:space="preserve">il CSLP rappresenta che </w:t>
      </w:r>
      <w:r w:rsidR="00FC1C49" w:rsidRPr="00FB607D">
        <w:rPr>
          <w:rFonts w:ascii="Bookman Old Style" w:hAnsi="Bookman Old Style" w:cs="Times New Roman"/>
        </w:rPr>
        <w:t>l</w:t>
      </w:r>
      <w:r w:rsidR="001468A9" w:rsidRPr="00FB607D">
        <w:rPr>
          <w:rFonts w:ascii="Bookman Old Style" w:hAnsi="Bookman Old Style" w:cs="Times New Roman"/>
        </w:rPr>
        <w:t>’art. 3, comma 1, lettera d), del DPR 380/2001, per come modificato dall’art. 10, comma 1, lettera b), della Legge 120/2020 ha ricompreso fra gli interventi di “ristrutturazione edilizia” anche quelli di “</w:t>
      </w:r>
      <w:r w:rsidR="001468A9" w:rsidRPr="00FB607D">
        <w:rPr>
          <w:rFonts w:ascii="Bookman Old Style" w:hAnsi="Bookman Old Style" w:cs="Times New Roman"/>
          <w:i/>
          <w:iCs/>
        </w:rPr>
        <w:t>demolizione e ricostruzione di edifici esistenti con diversi sagoma, prospetti, sedime e caratteristiche planivolumetriche e tipologiche, (…)</w:t>
      </w:r>
      <w:r w:rsidR="001468A9" w:rsidRPr="00FB607D">
        <w:rPr>
          <w:rFonts w:ascii="Bookman Old Style" w:hAnsi="Bookman Old Style" w:cs="Times New Roman"/>
        </w:rPr>
        <w:t>”</w:t>
      </w:r>
      <w:r w:rsidR="00832037" w:rsidRPr="00FB607D">
        <w:rPr>
          <w:rFonts w:ascii="Bookman Old Style" w:hAnsi="Bookman Old Style" w:cs="Times New Roman"/>
        </w:rPr>
        <w:t>, ricordando</w:t>
      </w:r>
      <w:r w:rsidR="000C5287" w:rsidRPr="00FB607D">
        <w:rPr>
          <w:rFonts w:ascii="Bookman Old Style" w:hAnsi="Bookman Old Style" w:cs="Times New Roman"/>
        </w:rPr>
        <w:t xml:space="preserve"> tuttavia la </w:t>
      </w:r>
      <w:proofErr w:type="spellStart"/>
      <w:r w:rsidR="000C5287" w:rsidRPr="00FB607D">
        <w:rPr>
          <w:rFonts w:ascii="Bookman Old Style" w:hAnsi="Bookman Old Style" w:cs="Times New Roman"/>
        </w:rPr>
        <w:t>surrichiamata</w:t>
      </w:r>
      <w:proofErr w:type="spellEnd"/>
      <w:r w:rsidR="000C5287" w:rsidRPr="00FB607D">
        <w:rPr>
          <w:rFonts w:ascii="Bookman Old Style" w:hAnsi="Bookman Old Style" w:cs="Times New Roman"/>
        </w:rPr>
        <w:t xml:space="preserve"> esclusione </w:t>
      </w:r>
      <w:r w:rsidR="00162EE2" w:rsidRPr="00FB607D">
        <w:rPr>
          <w:rFonts w:ascii="Bookman Old Style" w:hAnsi="Bookman Old Style" w:cs="Times New Roman"/>
        </w:rPr>
        <w:t xml:space="preserve">di tale disposizione per gli immobili vincolati. </w:t>
      </w:r>
    </w:p>
    <w:p w:rsidR="00FC1C49" w:rsidRPr="006F0689" w:rsidRDefault="007F1BEF" w:rsidP="00BB2471">
      <w:pPr>
        <w:spacing w:line="360" w:lineRule="auto"/>
        <w:jc w:val="both"/>
        <w:rPr>
          <w:rFonts w:ascii="Bookman Old Style" w:hAnsi="Bookman Old Style" w:cs="Times New Roman"/>
          <w:b/>
          <w:bCs/>
          <w:u w:val="single"/>
        </w:rPr>
      </w:pPr>
      <w:r w:rsidRPr="00FB607D">
        <w:rPr>
          <w:rFonts w:ascii="Bookman Old Style" w:hAnsi="Bookman Old Style" w:cs="Times New Roman"/>
        </w:rPr>
        <w:t>Nell</w:t>
      </w:r>
      <w:r w:rsidR="0001265F" w:rsidRPr="00FB607D">
        <w:rPr>
          <w:rFonts w:ascii="Bookman Old Style" w:hAnsi="Bookman Old Style" w:cs="Times New Roman"/>
        </w:rPr>
        <w:t>a</w:t>
      </w:r>
      <w:r w:rsidRPr="00FB607D">
        <w:rPr>
          <w:rFonts w:ascii="Bookman Old Style" w:hAnsi="Bookman Old Style" w:cs="Times New Roman"/>
        </w:rPr>
        <w:t xml:space="preserve"> precisazione</w:t>
      </w:r>
      <w:r w:rsidRPr="00A94A24">
        <w:rPr>
          <w:rFonts w:ascii="Bookman Old Style" w:hAnsi="Bookman Old Style" w:cs="Times New Roman"/>
          <w:b/>
          <w:u w:val="single"/>
        </w:rPr>
        <w:t xml:space="preserve">, il CSLP, </w:t>
      </w:r>
      <w:r w:rsidR="003444A0" w:rsidRPr="00A94A24">
        <w:rPr>
          <w:rFonts w:ascii="Bookman Old Style" w:hAnsi="Bookman Old Style" w:cs="Times New Roman"/>
          <w:b/>
          <w:u w:val="single"/>
        </w:rPr>
        <w:t xml:space="preserve">sottolinea </w:t>
      </w:r>
      <w:r w:rsidR="0001265F" w:rsidRPr="00A94A24">
        <w:rPr>
          <w:rFonts w:ascii="Bookman Old Style" w:hAnsi="Bookman Old Style" w:cs="Times New Roman"/>
          <w:b/>
          <w:u w:val="single"/>
        </w:rPr>
        <w:t>tuttavia</w:t>
      </w:r>
      <w:r w:rsidR="003444A0">
        <w:rPr>
          <w:rFonts w:ascii="Bookman Old Style" w:hAnsi="Bookman Old Style" w:cs="Times New Roman"/>
        </w:rPr>
        <w:t>,</w:t>
      </w:r>
      <w:r w:rsidRPr="00FB607D">
        <w:rPr>
          <w:rFonts w:ascii="Bookman Old Style" w:hAnsi="Bookman Old Style" w:cs="Times New Roman"/>
        </w:rPr>
        <w:t xml:space="preserve"> i</w:t>
      </w:r>
      <w:r w:rsidR="00FC1C49" w:rsidRPr="00FB607D">
        <w:rPr>
          <w:rFonts w:ascii="Bookman Old Style" w:hAnsi="Bookman Old Style" w:cs="Times New Roman"/>
        </w:rPr>
        <w:t xml:space="preserve">n relazione </w:t>
      </w:r>
      <w:r w:rsidR="00FC1C49" w:rsidRPr="00FB607D">
        <w:rPr>
          <w:rFonts w:ascii="Bookman Old Style" w:hAnsi="Bookman Old Style" w:cs="Times New Roman"/>
          <w:b/>
          <w:bCs/>
        </w:rPr>
        <w:t>a</w:t>
      </w:r>
      <w:r w:rsidR="00832037" w:rsidRPr="00FB607D">
        <w:rPr>
          <w:rFonts w:ascii="Bookman Old Style" w:hAnsi="Bookman Old Style" w:cs="Times New Roman"/>
          <w:b/>
          <w:bCs/>
        </w:rPr>
        <w:t xml:space="preserve"> tali </w:t>
      </w:r>
      <w:r w:rsidR="00FC1C49" w:rsidRPr="00FB607D">
        <w:rPr>
          <w:rFonts w:ascii="Bookman Old Style" w:hAnsi="Bookman Old Style" w:cs="Times New Roman"/>
          <w:b/>
          <w:bCs/>
        </w:rPr>
        <w:t xml:space="preserve">specifici </w:t>
      </w:r>
      <w:r w:rsidR="00BB0227" w:rsidRPr="00FB607D">
        <w:rPr>
          <w:rFonts w:ascii="Bookman Old Style" w:hAnsi="Bookman Old Style" w:cs="Times New Roman"/>
          <w:b/>
          <w:bCs/>
        </w:rPr>
        <w:t>limiti</w:t>
      </w:r>
      <w:r w:rsidR="00BB0227" w:rsidRPr="00FB607D">
        <w:rPr>
          <w:rFonts w:ascii="Bookman Old Style" w:hAnsi="Bookman Old Style" w:cs="Times New Roman"/>
        </w:rPr>
        <w:t xml:space="preserve"> posti per gli immobili</w:t>
      </w:r>
      <w:r w:rsidR="000C5287" w:rsidRPr="00FB607D">
        <w:rPr>
          <w:rFonts w:ascii="Bookman Old Style" w:hAnsi="Bookman Old Style" w:cs="Times New Roman"/>
        </w:rPr>
        <w:t xml:space="preserve"> </w:t>
      </w:r>
      <w:r w:rsidR="00BB0227" w:rsidRPr="00FB607D">
        <w:rPr>
          <w:rFonts w:ascii="Bookman Old Style" w:hAnsi="Bookman Old Style" w:cs="Times New Roman"/>
          <w:i/>
          <w:iCs/>
        </w:rPr>
        <w:t>sottoposti a tutela ai sensi del Codice dei beni culturali e del paesaggio di cui al decreto legislativo 22 gennaio 2004, n. 42</w:t>
      </w:r>
      <w:r w:rsidR="00C54AAA" w:rsidRPr="00FB607D">
        <w:rPr>
          <w:rFonts w:ascii="Bookman Old Style" w:hAnsi="Bookman Old Style" w:cs="Times New Roman"/>
          <w:i/>
          <w:iCs/>
        </w:rPr>
        <w:t xml:space="preserve"> […]</w:t>
      </w:r>
      <w:r w:rsidR="00A94A24">
        <w:rPr>
          <w:rFonts w:ascii="Bookman Old Style" w:hAnsi="Bookman Old Style" w:cs="Times New Roman"/>
          <w:i/>
          <w:iCs/>
        </w:rPr>
        <w:t>,</w:t>
      </w:r>
      <w:r w:rsidR="00C54AAA" w:rsidRPr="00FB607D">
        <w:rPr>
          <w:rFonts w:ascii="Bookman Old Style" w:hAnsi="Bookman Old Style" w:cs="Times New Roman"/>
          <w:i/>
          <w:iCs/>
        </w:rPr>
        <w:t xml:space="preserve"> </w:t>
      </w:r>
      <w:r w:rsidRPr="006F0689">
        <w:rPr>
          <w:rFonts w:ascii="Bookman Old Style" w:hAnsi="Bookman Old Style" w:cs="Times New Roman"/>
          <w:iCs/>
        </w:rPr>
        <w:t xml:space="preserve">in cui </w:t>
      </w:r>
      <w:r w:rsidR="00C54AAA" w:rsidRPr="006F0689">
        <w:rPr>
          <w:rFonts w:ascii="Bookman Old Style" w:hAnsi="Bookman Old Style" w:cs="Times New Roman"/>
          <w:iCs/>
        </w:rPr>
        <w:t>gli interventi di demolizione e ricostruzione e gli interventi di ripristino di edifici crollati o demoliti costituiscono interventi di ristrutturazione edilizia soltanto ove siano mantenuti sagoma, prospetti, sedime e caratteristiche planivolumetriche e tipologiche dell’edificio preesistente e non siano previsti incrementi di volumetria</w:t>
      </w:r>
      <w:r w:rsidR="003444A0">
        <w:rPr>
          <w:rFonts w:ascii="Bookman Old Style" w:hAnsi="Bookman Old Style" w:cs="Times New Roman"/>
          <w:b/>
          <w:iCs/>
          <w:u w:val="single"/>
        </w:rPr>
        <w:t>,</w:t>
      </w:r>
      <w:r w:rsidR="00021ED7">
        <w:rPr>
          <w:rFonts w:ascii="Bookman Old Style" w:hAnsi="Bookman Old Style" w:cs="Times New Roman"/>
          <w:b/>
          <w:iCs/>
          <w:u w:val="single"/>
        </w:rPr>
        <w:t xml:space="preserve"> la distinzione </w:t>
      </w:r>
      <w:r w:rsidR="00021ED7" w:rsidRPr="006F0689">
        <w:rPr>
          <w:rFonts w:ascii="Bookman Old Style" w:hAnsi="Bookman Old Style" w:cs="Times New Roman"/>
          <w:b/>
          <w:bCs/>
          <w:iCs/>
          <w:u w:val="single"/>
        </w:rPr>
        <w:t xml:space="preserve">tra </w:t>
      </w:r>
      <w:r w:rsidRPr="006F0689">
        <w:rPr>
          <w:rFonts w:ascii="Bookman Old Style" w:hAnsi="Bookman Old Style" w:cs="Times New Roman"/>
          <w:b/>
          <w:bCs/>
          <w:iCs/>
          <w:u w:val="single"/>
        </w:rPr>
        <w:t xml:space="preserve">la disciplina dei </w:t>
      </w:r>
      <w:r w:rsidR="004C0ABC" w:rsidRPr="006F0689">
        <w:rPr>
          <w:rFonts w:ascii="Bookman Old Style" w:hAnsi="Bookman Old Style" w:cs="Times New Roman"/>
          <w:b/>
          <w:bCs/>
          <w:u w:val="single"/>
        </w:rPr>
        <w:t xml:space="preserve"> </w:t>
      </w:r>
      <w:r w:rsidR="004C0ABC" w:rsidRPr="006F0689">
        <w:rPr>
          <w:rFonts w:ascii="Bookman Old Style" w:hAnsi="Bookman Old Style" w:cs="Times New Roman"/>
          <w:b/>
          <w:bCs/>
          <w:iCs/>
          <w:u w:val="single"/>
        </w:rPr>
        <w:t xml:space="preserve">beni culturali, </w:t>
      </w:r>
      <w:r w:rsidR="004C0ABC" w:rsidRPr="006F0689">
        <w:rPr>
          <w:rFonts w:ascii="Bookman Old Style" w:hAnsi="Bookman Old Style" w:cs="Times New Roman"/>
          <w:b/>
          <w:bCs/>
          <w:u w:val="single"/>
        </w:rPr>
        <w:t>cui è dedicata la Parte II del Codice e, dall’altro,</w:t>
      </w:r>
      <w:r w:rsidRPr="006F0689">
        <w:rPr>
          <w:rFonts w:ascii="Bookman Old Style" w:hAnsi="Bookman Old Style" w:cs="Times New Roman"/>
          <w:b/>
          <w:bCs/>
          <w:u w:val="single"/>
        </w:rPr>
        <w:t xml:space="preserve"> quella dei</w:t>
      </w:r>
      <w:r w:rsidR="004C0ABC" w:rsidRPr="006F0689">
        <w:rPr>
          <w:rFonts w:ascii="Bookman Old Style" w:hAnsi="Bookman Old Style" w:cs="Times New Roman"/>
          <w:b/>
          <w:bCs/>
          <w:u w:val="single"/>
        </w:rPr>
        <w:t xml:space="preserve"> beni paesaggistici cui, invece, è dedicata la Parte III del Codice.</w:t>
      </w:r>
    </w:p>
    <w:p w:rsidR="004C425E" w:rsidRDefault="004C425E" w:rsidP="00BB2471">
      <w:pPr>
        <w:spacing w:line="360" w:lineRule="auto"/>
        <w:jc w:val="both"/>
        <w:rPr>
          <w:rFonts w:ascii="Bookman Old Style" w:hAnsi="Bookman Old Style" w:cs="Times New Roman"/>
        </w:rPr>
      </w:pPr>
    </w:p>
    <w:p w:rsidR="004F4AFA" w:rsidRPr="00FB607D" w:rsidRDefault="003808E2" w:rsidP="00BB2471">
      <w:pPr>
        <w:spacing w:line="360" w:lineRule="auto"/>
        <w:jc w:val="both"/>
        <w:rPr>
          <w:rFonts w:ascii="Bookman Old Style" w:hAnsi="Bookman Old Style" w:cs="Times New Roman"/>
        </w:rPr>
      </w:pPr>
      <w:r w:rsidRPr="00FB607D">
        <w:rPr>
          <w:rFonts w:ascii="Bookman Old Style" w:hAnsi="Bookman Old Style" w:cs="Times New Roman"/>
        </w:rPr>
        <w:t xml:space="preserve">Secondo il CSLP, </w:t>
      </w:r>
      <w:r w:rsidR="003E24A4" w:rsidRPr="00FB607D">
        <w:rPr>
          <w:rFonts w:ascii="Bookman Old Style" w:hAnsi="Bookman Old Style" w:cs="Times New Roman"/>
          <w:b/>
          <w:bCs/>
        </w:rPr>
        <w:t>nel primo caso</w:t>
      </w:r>
      <w:r w:rsidRPr="00FB607D">
        <w:rPr>
          <w:rFonts w:ascii="Bookman Old Style" w:hAnsi="Bookman Old Style" w:cs="Times New Roman"/>
        </w:rPr>
        <w:t xml:space="preserve"> </w:t>
      </w:r>
      <w:r w:rsidR="00001FF1">
        <w:rPr>
          <w:rFonts w:ascii="Bookman Old Style" w:hAnsi="Bookman Old Style" w:cs="Times New Roman"/>
        </w:rPr>
        <w:t xml:space="preserve">(ovvero parte II del Codice) </w:t>
      </w:r>
      <w:r w:rsidRPr="00FB607D">
        <w:rPr>
          <w:rFonts w:ascii="Bookman Old Style" w:hAnsi="Bookman Old Style" w:cs="Times New Roman"/>
        </w:rPr>
        <w:t xml:space="preserve">non è possibile </w:t>
      </w:r>
      <w:proofErr w:type="gramStart"/>
      <w:r w:rsidR="00001FF1">
        <w:rPr>
          <w:rFonts w:ascii="Bookman Old Style" w:hAnsi="Bookman Old Style" w:cs="Times New Roman"/>
        </w:rPr>
        <w:t>effettuare</w:t>
      </w:r>
      <w:r w:rsidR="007F1BEF" w:rsidRPr="00FB607D">
        <w:rPr>
          <w:rFonts w:ascii="Bookman Old Style" w:hAnsi="Bookman Old Style" w:cs="Times New Roman"/>
        </w:rPr>
        <w:t xml:space="preserve"> </w:t>
      </w:r>
      <w:r w:rsidRPr="00FB607D">
        <w:rPr>
          <w:rFonts w:ascii="Bookman Old Style" w:hAnsi="Bookman Old Style" w:cs="Times New Roman"/>
        </w:rPr>
        <w:t xml:space="preserve"> un’attività</w:t>
      </w:r>
      <w:proofErr w:type="gramEnd"/>
      <w:r w:rsidRPr="00FB607D">
        <w:rPr>
          <w:rFonts w:ascii="Bookman Old Style" w:hAnsi="Bookman Old Style" w:cs="Times New Roman"/>
        </w:rPr>
        <w:t xml:space="preserve"> di “demolizione e ricostruzione” </w:t>
      </w:r>
      <w:r w:rsidR="000C5287" w:rsidRPr="00FB607D">
        <w:rPr>
          <w:rFonts w:ascii="Bookman Old Style" w:hAnsi="Bookman Old Style" w:cs="Times New Roman"/>
        </w:rPr>
        <w:t>di</w:t>
      </w:r>
      <w:r w:rsidRPr="00FB607D">
        <w:rPr>
          <w:rFonts w:ascii="Bookman Old Style" w:hAnsi="Bookman Old Style" w:cs="Times New Roman"/>
        </w:rPr>
        <w:t xml:space="preserve"> beni immobili tutelati</w:t>
      </w:r>
      <w:r w:rsidR="002A10CB">
        <w:rPr>
          <w:rFonts w:ascii="Bookman Old Style" w:hAnsi="Bookman Old Style" w:cs="Times New Roman"/>
        </w:rPr>
        <w:t xml:space="preserve"> rientrante nella definizione di ristrutturazione</w:t>
      </w:r>
      <w:r w:rsidR="003E24A4" w:rsidRPr="00FB607D">
        <w:rPr>
          <w:rFonts w:ascii="Bookman Old Style" w:hAnsi="Bookman Old Style" w:cs="Times New Roman"/>
        </w:rPr>
        <w:t>,</w:t>
      </w:r>
      <w:r w:rsidRPr="00FB607D">
        <w:rPr>
          <w:rFonts w:ascii="Bookman Old Style" w:hAnsi="Bookman Old Style" w:cs="Times New Roman"/>
        </w:rPr>
        <w:t xml:space="preserve"> </w:t>
      </w:r>
      <w:r w:rsidR="004C4156" w:rsidRPr="00FB607D">
        <w:rPr>
          <w:rFonts w:ascii="Bookman Old Style" w:hAnsi="Bookman Old Style" w:cs="Times New Roman"/>
        </w:rPr>
        <w:t>in quanto qualsiasi intervento concernente tale tipo di beni, anche se parzialmente demolitivo e/o ricostruttivo,</w:t>
      </w:r>
      <w:r w:rsidR="00982F5C">
        <w:rPr>
          <w:rFonts w:ascii="Bookman Old Style" w:hAnsi="Bookman Old Style" w:cs="Times New Roman"/>
        </w:rPr>
        <w:t xml:space="preserve"> deve sempre essere autorizzato dalla </w:t>
      </w:r>
      <w:proofErr w:type="spellStart"/>
      <w:r w:rsidR="00982F5C">
        <w:rPr>
          <w:rFonts w:ascii="Bookman Old Style" w:hAnsi="Bookman Old Style" w:cs="Times New Roman"/>
        </w:rPr>
        <w:t>Sopraintendenza</w:t>
      </w:r>
      <w:proofErr w:type="spellEnd"/>
      <w:r w:rsidR="00982F5C">
        <w:rPr>
          <w:rFonts w:ascii="Bookman Old Style" w:hAnsi="Bookman Old Style" w:cs="Times New Roman"/>
        </w:rPr>
        <w:t xml:space="preserve"> competente per territorio.</w:t>
      </w:r>
      <w:r w:rsidR="004C4156" w:rsidRPr="00FB607D">
        <w:rPr>
          <w:rFonts w:ascii="Bookman Old Style" w:hAnsi="Bookman Old Style" w:cs="Times New Roman"/>
        </w:rPr>
        <w:t xml:space="preserve"> </w:t>
      </w:r>
    </w:p>
    <w:p w:rsidR="004C0DA9" w:rsidRPr="002A10CB" w:rsidRDefault="000C5287" w:rsidP="00BB2471">
      <w:pPr>
        <w:spacing w:line="360" w:lineRule="auto"/>
        <w:jc w:val="both"/>
        <w:rPr>
          <w:rFonts w:ascii="Bookman Old Style" w:hAnsi="Bookman Old Style" w:cs="Times New Roman"/>
          <w:b/>
        </w:rPr>
      </w:pPr>
      <w:r w:rsidRPr="00FB607D">
        <w:rPr>
          <w:rFonts w:ascii="Bookman Old Style" w:hAnsi="Bookman Old Style" w:cs="Times New Roman"/>
          <w:u w:val="single"/>
        </w:rPr>
        <w:t xml:space="preserve">Nel secondo caso </w:t>
      </w:r>
      <w:r w:rsidR="002F787B" w:rsidRPr="00FB607D">
        <w:rPr>
          <w:rFonts w:ascii="Bookman Old Style" w:hAnsi="Bookman Old Style" w:cs="Times New Roman"/>
          <w:u w:val="single"/>
        </w:rPr>
        <w:t xml:space="preserve"> invece</w:t>
      </w:r>
      <w:r w:rsidRPr="00FB607D">
        <w:rPr>
          <w:rFonts w:ascii="Bookman Old Style" w:hAnsi="Bookman Old Style" w:cs="Times New Roman"/>
          <w:u w:val="single"/>
        </w:rPr>
        <w:t>, quello dei</w:t>
      </w:r>
      <w:r w:rsidR="002F787B" w:rsidRPr="00FB607D">
        <w:rPr>
          <w:rFonts w:ascii="Bookman Old Style" w:hAnsi="Bookman Old Style" w:cs="Times New Roman"/>
          <w:u w:val="single"/>
        </w:rPr>
        <w:t xml:space="preserve"> </w:t>
      </w:r>
      <w:r w:rsidR="002F787B" w:rsidRPr="00FB607D">
        <w:rPr>
          <w:rFonts w:ascii="Bookman Old Style" w:hAnsi="Bookman Old Style" w:cs="Times New Roman"/>
          <w:i/>
          <w:iCs/>
          <w:u w:val="single"/>
        </w:rPr>
        <w:t>beni paesaggistici</w:t>
      </w:r>
      <w:r w:rsidR="00B43099">
        <w:rPr>
          <w:rFonts w:ascii="Bookman Old Style" w:hAnsi="Bookman Old Style" w:cs="Times New Roman"/>
        </w:rPr>
        <w:t xml:space="preserve">, </w:t>
      </w:r>
      <w:r w:rsidR="00AB3033" w:rsidRPr="00FB607D">
        <w:rPr>
          <w:rFonts w:ascii="Bookman Old Style" w:hAnsi="Bookman Old Style" w:cs="Times New Roman"/>
        </w:rPr>
        <w:t xml:space="preserve">il cui </w:t>
      </w:r>
      <w:r w:rsidR="00AB3033" w:rsidRPr="00FB607D">
        <w:rPr>
          <w:rFonts w:ascii="Bookman Old Style" w:hAnsi="Bookman Old Style" w:cs="Times New Roman"/>
          <w:b/>
          <w:bCs/>
        </w:rPr>
        <w:t xml:space="preserve">vincolo risiede nell’essere inseriti in </w:t>
      </w:r>
      <w:r w:rsidR="00AB3033" w:rsidRPr="00FB607D">
        <w:rPr>
          <w:rFonts w:ascii="Bookman Old Style" w:hAnsi="Bookman Old Style" w:cs="Times New Roman"/>
          <w:b/>
          <w:bCs/>
          <w:u w:val="single"/>
        </w:rPr>
        <w:t>aree sottoposte a vincolo paesaggistico (Parte III del Codice)</w:t>
      </w:r>
      <w:r w:rsidR="00AB3033" w:rsidRPr="00FB607D">
        <w:rPr>
          <w:rFonts w:ascii="Bookman Old Style" w:hAnsi="Bookman Old Style" w:cs="Times New Roman"/>
        </w:rPr>
        <w:t xml:space="preserve"> </w:t>
      </w:r>
      <w:r w:rsidR="00AB3033" w:rsidRPr="00FB607D">
        <w:rPr>
          <w:rFonts w:ascii="Bookman Old Style" w:hAnsi="Bookman Old Style" w:cs="Times New Roman"/>
          <w:b/>
          <w:bCs/>
        </w:rPr>
        <w:t>- sebbene privi di riconosciuto valore storico, artistico o architettonico intrinseco</w:t>
      </w:r>
      <w:r w:rsidRPr="00FB607D">
        <w:rPr>
          <w:rFonts w:ascii="Bookman Old Style" w:hAnsi="Bookman Old Style" w:cs="Times New Roman"/>
        </w:rPr>
        <w:t xml:space="preserve">, </w:t>
      </w:r>
      <w:r w:rsidR="00782262" w:rsidRPr="00FB607D">
        <w:rPr>
          <w:rFonts w:ascii="Bookman Old Style" w:hAnsi="Bookman Old Style" w:cs="Times New Roman"/>
        </w:rPr>
        <w:t>il Con</w:t>
      </w:r>
      <w:r w:rsidR="00B14755" w:rsidRPr="00FB607D">
        <w:rPr>
          <w:rFonts w:ascii="Bookman Old Style" w:hAnsi="Bookman Old Style" w:cs="Times New Roman"/>
        </w:rPr>
        <w:t>siglio</w:t>
      </w:r>
      <w:r w:rsidR="00A92E64" w:rsidRPr="00FB607D">
        <w:rPr>
          <w:rFonts w:ascii="Bookman Old Style" w:hAnsi="Bookman Old Style" w:cs="Times New Roman"/>
        </w:rPr>
        <w:t>,</w:t>
      </w:r>
      <w:r w:rsidR="00B14755" w:rsidRPr="00FB607D">
        <w:rPr>
          <w:rFonts w:ascii="Bookman Old Style" w:hAnsi="Bookman Old Style" w:cs="Times New Roman"/>
        </w:rPr>
        <w:t xml:space="preserve"> </w:t>
      </w:r>
      <w:r w:rsidR="001E5B5E" w:rsidRPr="00FB607D">
        <w:rPr>
          <w:rFonts w:ascii="Bookman Old Style" w:hAnsi="Bookman Old Style" w:cs="Times New Roman"/>
        </w:rPr>
        <w:t xml:space="preserve">afferma (in ciò innovando rispetto alla circolare ministeriale) </w:t>
      </w:r>
      <w:r w:rsidRPr="00FB607D">
        <w:rPr>
          <w:rFonts w:ascii="Bookman Old Style" w:hAnsi="Bookman Old Style" w:cs="Times New Roman"/>
        </w:rPr>
        <w:t xml:space="preserve">che </w:t>
      </w:r>
      <w:r w:rsidR="00982F5C">
        <w:rPr>
          <w:rFonts w:ascii="Bookman Old Style" w:hAnsi="Bookman Old Style" w:cs="Times New Roman"/>
          <w:i/>
          <w:iCs/>
          <w:u w:val="single"/>
        </w:rPr>
        <w:t xml:space="preserve">sarebbe </w:t>
      </w:r>
      <w:r w:rsidR="00AB3033" w:rsidRPr="00FB607D">
        <w:rPr>
          <w:rFonts w:ascii="Bookman Old Style" w:hAnsi="Bookman Old Style" w:cs="Times New Roman"/>
          <w:i/>
          <w:iCs/>
          <w:u w:val="single"/>
        </w:rPr>
        <w:t>consentito</w:t>
      </w:r>
      <w:r w:rsidR="00982F5C">
        <w:rPr>
          <w:rFonts w:ascii="Bookman Old Style" w:hAnsi="Bookman Old Style" w:cs="Times New Roman"/>
          <w:i/>
          <w:iCs/>
          <w:u w:val="single"/>
        </w:rPr>
        <w:t xml:space="preserve"> applicare anche in questi ambiti la </w:t>
      </w:r>
      <w:proofErr w:type="spellStart"/>
      <w:r w:rsidR="00982F5C">
        <w:rPr>
          <w:rFonts w:ascii="Bookman Old Style" w:hAnsi="Bookman Old Style" w:cs="Times New Roman"/>
          <w:i/>
          <w:iCs/>
          <w:u w:val="single"/>
        </w:rPr>
        <w:t>rinovellata</w:t>
      </w:r>
      <w:proofErr w:type="spellEnd"/>
      <w:r w:rsidR="00982F5C">
        <w:rPr>
          <w:rFonts w:ascii="Bookman Old Style" w:hAnsi="Bookman Old Style" w:cs="Times New Roman"/>
          <w:i/>
          <w:iCs/>
          <w:u w:val="single"/>
        </w:rPr>
        <w:t xml:space="preserve"> definizione di</w:t>
      </w:r>
      <w:r w:rsidR="002A10CB">
        <w:rPr>
          <w:rFonts w:ascii="Bookman Old Style" w:hAnsi="Bookman Old Style" w:cs="Times New Roman"/>
          <w:i/>
          <w:iCs/>
          <w:u w:val="single"/>
        </w:rPr>
        <w:t xml:space="preserve"> ristrutturazione edilizia </w:t>
      </w:r>
      <w:r w:rsidR="00AB3033" w:rsidRPr="00982F5C">
        <w:rPr>
          <w:rFonts w:ascii="Bookman Old Style" w:hAnsi="Bookman Old Style" w:cs="Times New Roman"/>
          <w:i/>
          <w:iCs/>
          <w:u w:val="single"/>
        </w:rPr>
        <w:t xml:space="preserve">anche attraverso </w:t>
      </w:r>
      <w:r w:rsidRPr="00982F5C">
        <w:rPr>
          <w:rFonts w:ascii="Bookman Old Style" w:hAnsi="Bookman Old Style" w:cs="Times New Roman"/>
          <w:i/>
          <w:iCs/>
          <w:u w:val="single"/>
        </w:rPr>
        <w:t xml:space="preserve">attività di </w:t>
      </w:r>
      <w:r w:rsidR="00AB3033" w:rsidRPr="00982F5C">
        <w:rPr>
          <w:rFonts w:ascii="Bookman Old Style" w:hAnsi="Bookman Old Style" w:cs="Times New Roman"/>
          <w:b/>
          <w:i/>
          <w:iCs/>
          <w:u w:val="single"/>
        </w:rPr>
        <w:t>demolizione e ricostruzione</w:t>
      </w:r>
      <w:r w:rsidR="00AB3033" w:rsidRPr="00982F5C">
        <w:rPr>
          <w:rFonts w:ascii="Bookman Old Style" w:hAnsi="Bookman Old Style" w:cs="Times New Roman"/>
          <w:i/>
          <w:iCs/>
          <w:u w:val="single"/>
        </w:rPr>
        <w:t xml:space="preserve"> </w:t>
      </w:r>
      <w:r w:rsidR="00AB3033" w:rsidRPr="002A10CB">
        <w:rPr>
          <w:rFonts w:ascii="Bookman Old Style" w:hAnsi="Bookman Old Style" w:cs="Times New Roman"/>
          <w:b/>
          <w:iCs/>
          <w:u w:val="single"/>
        </w:rPr>
        <w:t>comprende</w:t>
      </w:r>
      <w:r w:rsidRPr="002A10CB">
        <w:rPr>
          <w:rFonts w:ascii="Bookman Old Style" w:hAnsi="Bookman Old Style" w:cs="Times New Roman"/>
          <w:b/>
          <w:iCs/>
          <w:u w:val="single"/>
        </w:rPr>
        <w:t xml:space="preserve">nte dunque </w:t>
      </w:r>
      <w:r w:rsidR="00AB3033" w:rsidRPr="002A10CB">
        <w:rPr>
          <w:rFonts w:ascii="Bookman Old Style" w:hAnsi="Bookman Old Style" w:cs="Times New Roman"/>
          <w:b/>
          <w:iCs/>
          <w:u w:val="single"/>
        </w:rPr>
        <w:t>modifiche alla sagoma, al sedime, ai prospetti ed al volume preesistente.</w:t>
      </w:r>
      <w:r w:rsidR="00AB3033" w:rsidRPr="002A10CB">
        <w:rPr>
          <w:rFonts w:ascii="Bookman Old Style" w:hAnsi="Bookman Old Style" w:cs="Times New Roman"/>
          <w:b/>
        </w:rPr>
        <w:t xml:space="preserve"> </w:t>
      </w:r>
    </w:p>
    <w:p w:rsidR="001E5B5E" w:rsidRPr="00FB607D" w:rsidRDefault="001E5B5E" w:rsidP="001E5B5E">
      <w:pPr>
        <w:spacing w:line="360" w:lineRule="auto"/>
        <w:jc w:val="both"/>
        <w:rPr>
          <w:rFonts w:ascii="Bookman Old Style" w:hAnsi="Bookman Old Style" w:cs="Times New Roman"/>
        </w:rPr>
      </w:pPr>
    </w:p>
    <w:p w:rsidR="000D0855" w:rsidRDefault="004943E2" w:rsidP="00BB2471">
      <w:pPr>
        <w:spacing w:line="36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lastRenderedPageBreak/>
        <w:t>Stante quanto sopra, co</w:t>
      </w:r>
      <w:r w:rsidR="002A10CB">
        <w:rPr>
          <w:rFonts w:ascii="Bookman Old Style" w:hAnsi="Bookman Old Style" w:cs="Times New Roman"/>
        </w:rPr>
        <w:t>me ricordato nella stessa precisazione del CSLP, sarebbe</w:t>
      </w:r>
      <w:r>
        <w:rPr>
          <w:rFonts w:ascii="Bookman Old Style" w:hAnsi="Bookman Old Style" w:cs="Times New Roman"/>
        </w:rPr>
        <w:t xml:space="preserve"> necessario un coinvolgimento del MIBAC e delle Regioni in quanto enti preposti alla tutela dei beni di cui al </w:t>
      </w:r>
      <w:proofErr w:type="spellStart"/>
      <w:r>
        <w:rPr>
          <w:rFonts w:ascii="Bookman Old Style" w:hAnsi="Bookman Old Style" w:cs="Times New Roman"/>
        </w:rPr>
        <w:t>D.Lgs</w:t>
      </w:r>
      <w:proofErr w:type="spellEnd"/>
      <w:r>
        <w:rPr>
          <w:rFonts w:ascii="Bookman Old Style" w:hAnsi="Bookman Old Style" w:cs="Times New Roman"/>
        </w:rPr>
        <w:t xml:space="preserve"> 42/2004, in modo da assicurare una corretta informazione dei funzionari degli sportelli unici dell’edilizia.</w:t>
      </w:r>
    </w:p>
    <w:p w:rsidR="00A94A24" w:rsidRPr="00FB607D" w:rsidRDefault="00A94A24" w:rsidP="00BB2471">
      <w:pPr>
        <w:spacing w:line="360" w:lineRule="auto"/>
        <w:jc w:val="both"/>
        <w:rPr>
          <w:rFonts w:ascii="Bookman Old Style" w:hAnsi="Bookman Old Style" w:cs="Times New Roman"/>
        </w:rPr>
      </w:pPr>
    </w:p>
    <w:p w:rsidR="000D0855" w:rsidRPr="00FB607D" w:rsidRDefault="000D0855" w:rsidP="00BB2471">
      <w:pPr>
        <w:spacing w:line="360" w:lineRule="auto"/>
        <w:jc w:val="both"/>
        <w:rPr>
          <w:rFonts w:ascii="Bookman Old Style" w:hAnsi="Bookman Old Style" w:cs="Times New Roman"/>
        </w:rPr>
      </w:pPr>
    </w:p>
    <w:p w:rsidR="000D0855" w:rsidRPr="00FB607D" w:rsidRDefault="000D0855" w:rsidP="00BB2471">
      <w:pPr>
        <w:spacing w:line="360" w:lineRule="auto"/>
        <w:jc w:val="both"/>
        <w:rPr>
          <w:rFonts w:ascii="Bookman Old Style" w:hAnsi="Bookman Old Style" w:cs="Times New Roman"/>
          <w:i/>
          <w:iCs/>
        </w:rPr>
      </w:pPr>
      <w:r w:rsidRPr="00FB607D">
        <w:rPr>
          <w:rFonts w:ascii="Bookman Old Style" w:hAnsi="Bookman Old Style" w:cs="Times New Roman"/>
          <w:i/>
          <w:iCs/>
        </w:rPr>
        <w:t xml:space="preserve">Roma, </w:t>
      </w:r>
      <w:r w:rsidR="00A94A24">
        <w:rPr>
          <w:rFonts w:ascii="Bookman Old Style" w:hAnsi="Bookman Old Style" w:cs="Times New Roman"/>
          <w:i/>
          <w:iCs/>
        </w:rPr>
        <w:t>9</w:t>
      </w:r>
      <w:r w:rsidRPr="00FB607D">
        <w:rPr>
          <w:rFonts w:ascii="Bookman Old Style" w:hAnsi="Bookman Old Style" w:cs="Times New Roman"/>
          <w:i/>
          <w:iCs/>
        </w:rPr>
        <w:t xml:space="preserve"> settembre 2021</w:t>
      </w:r>
    </w:p>
    <w:sectPr w:rsidR="000D0855" w:rsidRPr="00FB607D" w:rsidSect="00D50DDB">
      <w:headerReference w:type="default" r:id="rId8"/>
      <w:footerReference w:type="default" r:id="rId9"/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B38" w:rsidRDefault="004B0B38" w:rsidP="00D116A8">
      <w:r>
        <w:separator/>
      </w:r>
    </w:p>
  </w:endnote>
  <w:endnote w:type="continuationSeparator" w:id="0">
    <w:p w:rsidR="004B0B38" w:rsidRDefault="004B0B38" w:rsidP="00D11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6A8" w:rsidRDefault="00D116A8" w:rsidP="00D116A8">
    <w:pPr>
      <w:jc w:val="center"/>
    </w:pPr>
    <w:r>
      <w:t>_______________________________________________________________________________________</w:t>
    </w:r>
  </w:p>
  <w:p w:rsidR="00D116A8" w:rsidRPr="008341FC" w:rsidRDefault="00D116A8" w:rsidP="00D116A8">
    <w:pPr>
      <w:jc w:val="center"/>
      <w:rPr>
        <w:sz w:val="18"/>
        <w:szCs w:val="18"/>
      </w:rPr>
    </w:pPr>
    <w:r w:rsidRPr="008341FC">
      <w:rPr>
        <w:sz w:val="18"/>
        <w:szCs w:val="18"/>
      </w:rPr>
      <w:t xml:space="preserve">Via dei Prefetti, 46 - 00186 ROMA -  Tel. 06 680091 Fax 06 68009202 – E-mail </w:t>
    </w:r>
    <w:hyperlink r:id="rId1" w:history="1">
      <w:r w:rsidRPr="008341FC">
        <w:rPr>
          <w:rStyle w:val="Collegamentoipertestuale"/>
          <w:sz w:val="18"/>
          <w:szCs w:val="18"/>
        </w:rPr>
        <w:t>info@anci.it</w:t>
      </w:r>
    </w:hyperlink>
  </w:p>
  <w:p w:rsidR="00D116A8" w:rsidRDefault="00D116A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B38" w:rsidRDefault="004B0B38" w:rsidP="00D116A8">
      <w:r>
        <w:separator/>
      </w:r>
    </w:p>
  </w:footnote>
  <w:footnote w:type="continuationSeparator" w:id="0">
    <w:p w:rsidR="004B0B38" w:rsidRDefault="004B0B38" w:rsidP="00D11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EE2" w:rsidRDefault="00162EE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953"/>
    <w:rsid w:val="00001FF1"/>
    <w:rsid w:val="00003E6D"/>
    <w:rsid w:val="0001265F"/>
    <w:rsid w:val="00021ED7"/>
    <w:rsid w:val="000446B3"/>
    <w:rsid w:val="0005492B"/>
    <w:rsid w:val="00097714"/>
    <w:rsid w:val="000B53BB"/>
    <w:rsid w:val="000C5287"/>
    <w:rsid w:val="000C5C42"/>
    <w:rsid w:val="000D0855"/>
    <w:rsid w:val="000F7791"/>
    <w:rsid w:val="001025AD"/>
    <w:rsid w:val="00116BA5"/>
    <w:rsid w:val="00143167"/>
    <w:rsid w:val="001468A9"/>
    <w:rsid w:val="00162EE2"/>
    <w:rsid w:val="001A5355"/>
    <w:rsid w:val="001A7604"/>
    <w:rsid w:val="001D4E9E"/>
    <w:rsid w:val="001E5B5E"/>
    <w:rsid w:val="001E6E52"/>
    <w:rsid w:val="002206F2"/>
    <w:rsid w:val="00242E3A"/>
    <w:rsid w:val="00254F2A"/>
    <w:rsid w:val="00267504"/>
    <w:rsid w:val="00293EA2"/>
    <w:rsid w:val="002A10CB"/>
    <w:rsid w:val="002B52F9"/>
    <w:rsid w:val="002E5766"/>
    <w:rsid w:val="002F787B"/>
    <w:rsid w:val="00304A81"/>
    <w:rsid w:val="00307989"/>
    <w:rsid w:val="00310D70"/>
    <w:rsid w:val="0033026A"/>
    <w:rsid w:val="003444A0"/>
    <w:rsid w:val="0035061D"/>
    <w:rsid w:val="0035248F"/>
    <w:rsid w:val="003808E2"/>
    <w:rsid w:val="003A2953"/>
    <w:rsid w:val="003C361E"/>
    <w:rsid w:val="003D3AB3"/>
    <w:rsid w:val="003E24A4"/>
    <w:rsid w:val="00403E42"/>
    <w:rsid w:val="004065E7"/>
    <w:rsid w:val="00461037"/>
    <w:rsid w:val="00476871"/>
    <w:rsid w:val="0049097E"/>
    <w:rsid w:val="004943E2"/>
    <w:rsid w:val="004B0B38"/>
    <w:rsid w:val="004C05B8"/>
    <w:rsid w:val="004C0ABC"/>
    <w:rsid w:val="004C0DA9"/>
    <w:rsid w:val="004C4156"/>
    <w:rsid w:val="004C425E"/>
    <w:rsid w:val="004F4AFA"/>
    <w:rsid w:val="004F7C93"/>
    <w:rsid w:val="00576C53"/>
    <w:rsid w:val="00603B93"/>
    <w:rsid w:val="00627920"/>
    <w:rsid w:val="00636806"/>
    <w:rsid w:val="006F0689"/>
    <w:rsid w:val="0071651A"/>
    <w:rsid w:val="007473AC"/>
    <w:rsid w:val="00782262"/>
    <w:rsid w:val="007A1AAF"/>
    <w:rsid w:val="007C25F5"/>
    <w:rsid w:val="007E25A5"/>
    <w:rsid w:val="007F1BEF"/>
    <w:rsid w:val="007F6164"/>
    <w:rsid w:val="00832037"/>
    <w:rsid w:val="0085536B"/>
    <w:rsid w:val="008A19EB"/>
    <w:rsid w:val="008D0D37"/>
    <w:rsid w:val="008D18C2"/>
    <w:rsid w:val="009352BB"/>
    <w:rsid w:val="00950463"/>
    <w:rsid w:val="009759C3"/>
    <w:rsid w:val="00982F5C"/>
    <w:rsid w:val="009D43F2"/>
    <w:rsid w:val="009E3C60"/>
    <w:rsid w:val="009F76D6"/>
    <w:rsid w:val="00A34FBB"/>
    <w:rsid w:val="00A3557B"/>
    <w:rsid w:val="00A62266"/>
    <w:rsid w:val="00A63658"/>
    <w:rsid w:val="00A6513F"/>
    <w:rsid w:val="00A92E64"/>
    <w:rsid w:val="00A94A24"/>
    <w:rsid w:val="00AB3033"/>
    <w:rsid w:val="00AD06A2"/>
    <w:rsid w:val="00AE60CF"/>
    <w:rsid w:val="00AF38D4"/>
    <w:rsid w:val="00B1176B"/>
    <w:rsid w:val="00B14755"/>
    <w:rsid w:val="00B2504A"/>
    <w:rsid w:val="00B41961"/>
    <w:rsid w:val="00B43099"/>
    <w:rsid w:val="00B50E73"/>
    <w:rsid w:val="00BB0227"/>
    <w:rsid w:val="00BB2471"/>
    <w:rsid w:val="00BB583B"/>
    <w:rsid w:val="00C306A3"/>
    <w:rsid w:val="00C54AAA"/>
    <w:rsid w:val="00C60DBF"/>
    <w:rsid w:val="00C82857"/>
    <w:rsid w:val="00C84F02"/>
    <w:rsid w:val="00CE6322"/>
    <w:rsid w:val="00CF6C2D"/>
    <w:rsid w:val="00D116A8"/>
    <w:rsid w:val="00D50DDB"/>
    <w:rsid w:val="00D544AC"/>
    <w:rsid w:val="00D76B3E"/>
    <w:rsid w:val="00D95F87"/>
    <w:rsid w:val="00DB4B15"/>
    <w:rsid w:val="00DB4D9E"/>
    <w:rsid w:val="00DC4828"/>
    <w:rsid w:val="00DD39E1"/>
    <w:rsid w:val="00DE2C90"/>
    <w:rsid w:val="00DE46CA"/>
    <w:rsid w:val="00DF7B8A"/>
    <w:rsid w:val="00E00B4A"/>
    <w:rsid w:val="00E4615D"/>
    <w:rsid w:val="00E46B33"/>
    <w:rsid w:val="00E77D09"/>
    <w:rsid w:val="00EB7AA4"/>
    <w:rsid w:val="00EE3212"/>
    <w:rsid w:val="00F1375C"/>
    <w:rsid w:val="00F17B39"/>
    <w:rsid w:val="00F22C64"/>
    <w:rsid w:val="00F25058"/>
    <w:rsid w:val="00F43971"/>
    <w:rsid w:val="00F569FC"/>
    <w:rsid w:val="00F73C99"/>
    <w:rsid w:val="00FB607D"/>
    <w:rsid w:val="00FC1C49"/>
    <w:rsid w:val="00FD2B94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773AC1-F1EB-41EC-96EB-8F384186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3658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D3AB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116A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16A8"/>
  </w:style>
  <w:style w:type="paragraph" w:styleId="Pidipagina">
    <w:name w:val="footer"/>
    <w:basedOn w:val="Normale"/>
    <w:link w:val="PidipaginaCarattere"/>
    <w:uiPriority w:val="99"/>
    <w:unhideWhenUsed/>
    <w:rsid w:val="00D116A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16A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1B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1BEF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4C425E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3444A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444A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444A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444A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444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73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_stampa@anc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1271</Words>
  <Characters>7251</Characters>
  <Application>Microsoft Office Word</Application>
  <DocSecurity>4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 Area Vsg dota</vt:lpstr>
    </vt:vector>
  </TitlesOfParts>
  <Company/>
  <LinksUpToDate>false</LinksUpToDate>
  <CharactersWithSpaces>8505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 Area Vsg dota</dc:title>
  <dc:creator>Antonio Di Bari</dc:creator>
  <cp:lastModifiedBy>Claudia Polli</cp:lastModifiedBy>
  <cp:revision>2</cp:revision>
  <cp:lastPrinted>2021-09-02T08:31:00Z</cp:lastPrinted>
  <dcterms:created xsi:type="dcterms:W3CDTF">2021-09-14T08:48:00Z</dcterms:created>
  <dcterms:modified xsi:type="dcterms:W3CDTF">2021-09-14T08:48:00Z</dcterms:modified>
</cp:coreProperties>
</file>