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C4" w:rsidRDefault="001D47C4" w:rsidP="001D47C4">
      <w:pPr>
        <w:spacing w:line="276" w:lineRule="auto"/>
        <w:jc w:val="center"/>
        <w:rPr>
          <w:b/>
          <w:bCs/>
        </w:rPr>
      </w:pPr>
      <w:bookmarkStart w:id="0" w:name="_GoBack"/>
      <w:bookmarkEnd w:id="0"/>
      <w:r w:rsidRPr="000A0B6F">
        <w:rPr>
          <w:rFonts w:ascii="Bookman Old Style" w:hAnsi="Bookman Old Style"/>
          <w:noProof/>
          <w:lang w:eastAsia="it-IT"/>
        </w:rPr>
        <w:drawing>
          <wp:inline distT="0" distB="0" distL="0" distR="0" wp14:anchorId="30603342" wp14:editId="759B46FC">
            <wp:extent cx="608254" cy="899160"/>
            <wp:effectExtent l="0" t="0" r="1905"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480" cy="912799"/>
                    </a:xfrm>
                    <a:prstGeom prst="rect">
                      <a:avLst/>
                    </a:prstGeom>
                  </pic:spPr>
                </pic:pic>
              </a:graphicData>
            </a:graphic>
          </wp:inline>
        </w:drawing>
      </w:r>
    </w:p>
    <w:p w:rsidR="001D47C4" w:rsidRDefault="001D47C4" w:rsidP="001D47C4">
      <w:pPr>
        <w:spacing w:line="276" w:lineRule="auto"/>
        <w:jc w:val="center"/>
        <w:rPr>
          <w:b/>
          <w:bCs/>
        </w:rPr>
      </w:pPr>
    </w:p>
    <w:p w:rsidR="00362131" w:rsidRDefault="00634F36" w:rsidP="00F0316C">
      <w:pPr>
        <w:pBdr>
          <w:top w:val="single" w:sz="4" w:space="1" w:color="auto"/>
          <w:left w:val="single" w:sz="4" w:space="4" w:color="auto"/>
          <w:bottom w:val="single" w:sz="4" w:space="1" w:color="auto"/>
          <w:right w:val="single" w:sz="4" w:space="4" w:color="auto"/>
        </w:pBdr>
        <w:spacing w:line="276" w:lineRule="auto"/>
        <w:jc w:val="center"/>
      </w:pPr>
      <w:r>
        <w:rPr>
          <w:rFonts w:ascii="Bookman Old Style" w:hAnsi="Bookman Old Style" w:cs="Times New Roman"/>
          <w:b/>
          <w:bCs/>
          <w:smallCaps/>
          <w:sz w:val="24"/>
          <w:szCs w:val="24"/>
        </w:rPr>
        <w:t xml:space="preserve">Nota sintetica sulle norme di interesse dei comuni </w:t>
      </w:r>
      <w:r w:rsidR="00CD4F83">
        <w:rPr>
          <w:rFonts w:ascii="Bookman Old Style" w:hAnsi="Bookman Old Style" w:cs="Times New Roman"/>
          <w:b/>
          <w:bCs/>
          <w:smallCaps/>
          <w:sz w:val="24"/>
          <w:szCs w:val="24"/>
        </w:rPr>
        <w:t xml:space="preserve">contenute </w:t>
      </w:r>
      <w:r>
        <w:rPr>
          <w:rFonts w:ascii="Bookman Old Style" w:hAnsi="Bookman Old Style" w:cs="Times New Roman"/>
          <w:b/>
          <w:bCs/>
          <w:smallCaps/>
          <w:sz w:val="24"/>
          <w:szCs w:val="24"/>
        </w:rPr>
        <w:t>nel d.l. 9 giugno 2021</w:t>
      </w:r>
      <w:r w:rsidR="00CD4F83">
        <w:rPr>
          <w:rFonts w:ascii="Bookman Old Style" w:hAnsi="Bookman Old Style" w:cs="Times New Roman"/>
          <w:b/>
          <w:bCs/>
          <w:smallCaps/>
          <w:sz w:val="24"/>
          <w:szCs w:val="24"/>
        </w:rPr>
        <w:t>, n.80</w:t>
      </w:r>
      <w:r>
        <w:rPr>
          <w:rFonts w:ascii="Bookman Old Style" w:hAnsi="Bookman Old Style" w:cs="Times New Roman"/>
          <w:b/>
          <w:bCs/>
          <w:smallCaps/>
          <w:sz w:val="24"/>
          <w:szCs w:val="24"/>
        </w:rPr>
        <w:t xml:space="preserve"> – cd </w:t>
      </w:r>
      <w:r w:rsidRPr="00634F36">
        <w:rPr>
          <w:rFonts w:ascii="Bookman Old Style" w:hAnsi="Bookman Old Style" w:cs="Times New Roman"/>
          <w:b/>
          <w:bCs/>
          <w:i/>
          <w:iCs/>
          <w:smallCaps/>
          <w:sz w:val="24"/>
          <w:szCs w:val="24"/>
        </w:rPr>
        <w:t>rafforzamento pa e giustizia</w:t>
      </w:r>
      <w:r>
        <w:rPr>
          <w:rFonts w:ascii="Bookman Old Style" w:hAnsi="Bookman Old Style" w:cs="Times New Roman"/>
          <w:b/>
          <w:bCs/>
          <w:smallCaps/>
          <w:sz w:val="24"/>
          <w:szCs w:val="24"/>
        </w:rPr>
        <w:t xml:space="preserve"> – </w:t>
      </w:r>
      <w:r w:rsidR="00D25E45">
        <w:rPr>
          <w:rFonts w:ascii="Bookman Old Style" w:hAnsi="Bookman Old Style" w:cs="Times New Roman"/>
          <w:b/>
          <w:bCs/>
          <w:smallCaps/>
          <w:sz w:val="24"/>
          <w:szCs w:val="24"/>
        </w:rPr>
        <w:t>come convertito in L</w:t>
      </w:r>
      <w:r w:rsidR="00664886">
        <w:rPr>
          <w:rFonts w:ascii="Bookman Old Style" w:hAnsi="Bookman Old Style" w:cs="Times New Roman"/>
          <w:b/>
          <w:bCs/>
          <w:smallCaps/>
          <w:sz w:val="24"/>
          <w:szCs w:val="24"/>
        </w:rPr>
        <w:t>e</w:t>
      </w:r>
      <w:r w:rsidR="00D25E45">
        <w:rPr>
          <w:rFonts w:ascii="Bookman Old Style" w:hAnsi="Bookman Old Style" w:cs="Times New Roman"/>
          <w:b/>
          <w:bCs/>
          <w:smallCaps/>
          <w:sz w:val="24"/>
          <w:szCs w:val="24"/>
        </w:rPr>
        <w:t xml:space="preserve">gge </w:t>
      </w:r>
      <w:r w:rsidR="00146AF1" w:rsidRPr="00146AF1">
        <w:rPr>
          <w:rFonts w:ascii="Bookman Old Style" w:hAnsi="Bookman Old Style" w:cs="Times New Roman"/>
          <w:b/>
          <w:bCs/>
          <w:smallCaps/>
          <w:sz w:val="24"/>
          <w:szCs w:val="24"/>
        </w:rPr>
        <w:t>6 agosto 2021, n. 113</w:t>
      </w:r>
    </w:p>
    <w:p w:rsidR="00F023AB" w:rsidRDefault="00F023AB" w:rsidP="008002A8">
      <w:pPr>
        <w:spacing w:line="276" w:lineRule="auto"/>
        <w:rPr>
          <w:rFonts w:ascii="Bookman Old Style" w:hAnsi="Bookman Old Style"/>
          <w:b/>
          <w:bCs/>
        </w:rPr>
      </w:pPr>
      <w:r w:rsidRPr="00634F36">
        <w:rPr>
          <w:rFonts w:ascii="Bookman Old Style" w:hAnsi="Bookman Old Style"/>
          <w:b/>
          <w:bCs/>
        </w:rPr>
        <w:t>Premessa</w:t>
      </w:r>
    </w:p>
    <w:p w:rsidR="00F023AB" w:rsidRPr="00741C22" w:rsidRDefault="003272F0" w:rsidP="008002A8">
      <w:pPr>
        <w:spacing w:line="276" w:lineRule="auto"/>
        <w:jc w:val="both"/>
        <w:rPr>
          <w:rFonts w:ascii="Bookman Old Style" w:hAnsi="Bookman Old Style"/>
          <w:b/>
          <w:bCs/>
        </w:rPr>
      </w:pPr>
      <w:r w:rsidRPr="00262B3F">
        <w:rPr>
          <w:rFonts w:ascii="Bookman Old Style" w:hAnsi="Bookman Old Style" w:cs="TimesNewRomanPS-BoldMT"/>
        </w:rPr>
        <w:t xml:space="preserve">Si riporta di seguito </w:t>
      </w:r>
      <w:r>
        <w:rPr>
          <w:rFonts w:ascii="Bookman Old Style" w:hAnsi="Bookman Old Style" w:cs="TimesNewRomanPS-BoldMT"/>
        </w:rPr>
        <w:t>un</w:t>
      </w:r>
      <w:r w:rsidR="00D25E45">
        <w:rPr>
          <w:rFonts w:ascii="Bookman Old Style" w:hAnsi="Bookman Old Style" w:cs="TimesNewRomanPS-BoldMT"/>
        </w:rPr>
        <w:t xml:space="preserve">a sintetica nota </w:t>
      </w:r>
      <w:r w:rsidRPr="00262B3F">
        <w:rPr>
          <w:rFonts w:ascii="Bookman Old Style" w:hAnsi="Bookman Old Style" w:cs="TimesNewRomanPS-BoldMT"/>
        </w:rPr>
        <w:t>su</w:t>
      </w:r>
      <w:r>
        <w:rPr>
          <w:rFonts w:ascii="Bookman Old Style" w:hAnsi="Bookman Old Style" w:cs="TimesNewRomanPS-BoldMT"/>
        </w:rPr>
        <w:t xml:space="preserve">lle norme </w:t>
      </w:r>
      <w:r w:rsidRPr="00262B3F">
        <w:rPr>
          <w:rFonts w:ascii="Bookman Old Style" w:hAnsi="Bookman Old Style" w:cs="TimesNewRomanPS-BoldMT"/>
        </w:rPr>
        <w:t>di maggior interesse per i Comuni</w:t>
      </w:r>
      <w:r w:rsidR="00F0316C">
        <w:rPr>
          <w:rFonts w:ascii="Bookman Old Style" w:hAnsi="Bookman Old Style" w:cs="TimesNewRomanPS-BoldMT"/>
        </w:rPr>
        <w:t xml:space="preserve"> e le Città Metropolitane, </w:t>
      </w:r>
      <w:r>
        <w:rPr>
          <w:rFonts w:ascii="Bookman Old Style" w:hAnsi="Bookman Old Style" w:cs="TimesNewRomanPS-BoldMT"/>
        </w:rPr>
        <w:t>contenute nel</w:t>
      </w:r>
      <w:r w:rsidRPr="00FB1BFF">
        <w:rPr>
          <w:rFonts w:ascii="Bookman Old Style" w:hAnsi="Bookman Old Style" w:cs="TimesNewRomanPS-BoldMT"/>
        </w:rPr>
        <w:t xml:space="preserve"> decreto</w:t>
      </w:r>
      <w:r>
        <w:rPr>
          <w:rFonts w:ascii="Bookman Old Style" w:hAnsi="Bookman Old Style" w:cs="TimesNewRomanPS-BoldMT"/>
        </w:rPr>
        <w:t>-</w:t>
      </w:r>
      <w:r w:rsidRPr="00FB1BFF">
        <w:rPr>
          <w:rFonts w:ascii="Bookman Old Style" w:hAnsi="Bookman Old Style" w:cs="TimesNewRomanPS-BoldMT"/>
        </w:rPr>
        <w:t>legge</w:t>
      </w:r>
      <w:r>
        <w:rPr>
          <w:rFonts w:ascii="Bookman Old Style" w:hAnsi="Bookman Old Style" w:cs="TimesNewRomanPS-BoldMT"/>
        </w:rPr>
        <w:t xml:space="preserve"> 9 giugno 2021, n. 80</w:t>
      </w:r>
      <w:r w:rsidR="00D25E45">
        <w:rPr>
          <w:rFonts w:ascii="Bookman Old Style" w:hAnsi="Bookman Old Style" w:cs="TimesNewRomanPS-BoldMT"/>
        </w:rPr>
        <w:t xml:space="preserve"> e r</w:t>
      </w:r>
      <w:r w:rsidR="003C42E8">
        <w:rPr>
          <w:rFonts w:ascii="Bookman Old Style" w:hAnsi="Bookman Old Style" w:cs="TimesNewRomanPS-BoldMT"/>
        </w:rPr>
        <w:t>ecante “</w:t>
      </w:r>
      <w:r w:rsidR="003C42E8" w:rsidRPr="003C42E8">
        <w:rPr>
          <w:rFonts w:ascii="Bookman Old Style" w:hAnsi="Bookman Old Style" w:cs="TimesNewRomanPS-BoldMT"/>
          <w:i/>
          <w:iCs/>
        </w:rPr>
        <w:t xml:space="preserve">Misure urgenti </w:t>
      </w:r>
      <w:r w:rsidR="003C42E8" w:rsidRPr="00BC2A6C">
        <w:rPr>
          <w:rFonts w:ascii="Bookman Old Style" w:hAnsi="Bookman Old Style" w:cs="TimesNewRomanPS-BoldMT"/>
          <w:i/>
          <w:iCs/>
        </w:rPr>
        <w:t>per il rafforzamento della capacità amministrativa delle Pubbliche amministrazioni funzionale all’attuazione del Piano nazionale di ripresa e resilienza (PNRR) e per l’efficienza della giustizia</w:t>
      </w:r>
      <w:r w:rsidR="00274FD1" w:rsidRPr="00BC2A6C">
        <w:rPr>
          <w:rFonts w:ascii="Bookman Old Style" w:hAnsi="Bookman Old Style" w:cs="TimesNewRomanPS-BoldMT"/>
          <w:i/>
          <w:iCs/>
        </w:rPr>
        <w:t>”</w:t>
      </w:r>
      <w:r w:rsidR="00D25E45">
        <w:rPr>
          <w:rFonts w:ascii="Bookman Old Style" w:hAnsi="Bookman Old Style" w:cs="TimesNewRomanPS-BoldMT"/>
          <w:i/>
          <w:iCs/>
        </w:rPr>
        <w:t xml:space="preserve">, </w:t>
      </w:r>
      <w:r w:rsidR="007D549D" w:rsidRPr="00BC2A6C">
        <w:rPr>
          <w:rFonts w:ascii="Bookman Old Style" w:hAnsi="Bookman Old Style" w:cs="TimesNewRomanPS-BoldMT"/>
          <w:i/>
          <w:iCs/>
        </w:rPr>
        <w:t xml:space="preserve"> </w:t>
      </w:r>
      <w:r w:rsidR="00D25E45">
        <w:rPr>
          <w:rFonts w:ascii="Bookman Old Style" w:hAnsi="Bookman Old Style" w:cs="TimesNewRomanPS-BoldMT"/>
        </w:rPr>
        <w:t xml:space="preserve">convertito in legge n. </w:t>
      </w:r>
      <w:r w:rsidR="00146AF1" w:rsidRPr="00146AF1">
        <w:rPr>
          <w:rFonts w:ascii="Bookman Old Style" w:hAnsi="Bookman Old Style" w:cs="TimesNewRomanPS-BoldMT"/>
        </w:rPr>
        <w:t>6 agosto 2021, n. 113</w:t>
      </w:r>
      <w:r w:rsidR="00D25E45">
        <w:rPr>
          <w:rFonts w:ascii="Bookman Old Style" w:hAnsi="Bookman Old Style" w:cs="TimesNewRomanPS-BoldMT"/>
        </w:rPr>
        <w:t>pubblicata in Gazzetta Ufficiale del</w:t>
      </w:r>
      <w:r w:rsidR="008F2389">
        <w:rPr>
          <w:rFonts w:ascii="Bookman Old Style" w:hAnsi="Bookman Old Style" w:cs="TimesNewRomanPS-BoldMT"/>
        </w:rPr>
        <w:t xml:space="preserve"> 7 agosto 2021.</w:t>
      </w:r>
      <w:r w:rsidR="00D25E45">
        <w:rPr>
          <w:rFonts w:ascii="Bookman Old Style" w:hAnsi="Bookman Old Style"/>
        </w:rPr>
        <w:t xml:space="preserve">Trattasi di </w:t>
      </w:r>
      <w:r w:rsidR="00757D62" w:rsidRPr="00634F36">
        <w:rPr>
          <w:rFonts w:ascii="Bookman Old Style" w:hAnsi="Bookman Old Style"/>
        </w:rPr>
        <w:t xml:space="preserve"> misure urgenti </w:t>
      </w:r>
      <w:r w:rsidR="00920A8A" w:rsidRPr="00634F36">
        <w:rPr>
          <w:rFonts w:ascii="Bookman Old Style" w:hAnsi="Bookman Old Style"/>
        </w:rPr>
        <w:t xml:space="preserve">finalizzate a consentire il </w:t>
      </w:r>
      <w:r w:rsidR="00920A8A" w:rsidRPr="00741C22">
        <w:rPr>
          <w:rFonts w:ascii="Bookman Old Style" w:hAnsi="Bookman Old Style"/>
          <w:b/>
          <w:bCs/>
        </w:rPr>
        <w:t>potenziamento della capacità amministrativa di tutte le PPAA coinvolte nell’attuazione del PNRR</w:t>
      </w:r>
      <w:r w:rsidR="0049561C" w:rsidRPr="00741C22">
        <w:rPr>
          <w:rFonts w:ascii="Bookman Old Style" w:hAnsi="Bookman Old Style"/>
          <w:b/>
          <w:bCs/>
        </w:rPr>
        <w:t>.</w:t>
      </w:r>
    </w:p>
    <w:p w:rsidR="00F146B7" w:rsidRPr="00634F36" w:rsidRDefault="00D25E45" w:rsidP="008002A8">
      <w:pPr>
        <w:spacing w:line="276" w:lineRule="auto"/>
        <w:jc w:val="both"/>
        <w:rPr>
          <w:rFonts w:ascii="Bookman Old Style" w:hAnsi="Bookman Old Style"/>
        </w:rPr>
      </w:pPr>
      <w:r>
        <w:rPr>
          <w:rFonts w:ascii="Bookman Old Style" w:hAnsi="Bookman Old Style"/>
        </w:rPr>
        <w:t>In particolare, l</w:t>
      </w:r>
      <w:r w:rsidR="00F146B7" w:rsidRPr="00634F36">
        <w:rPr>
          <w:rFonts w:ascii="Bookman Old Style" w:hAnsi="Bookman Old Style"/>
        </w:rPr>
        <w:t xml:space="preserve">e </w:t>
      </w:r>
      <w:r w:rsidR="00777BCD" w:rsidRPr="00634F36">
        <w:rPr>
          <w:rFonts w:ascii="Bookman Old Style" w:hAnsi="Bookman Old Style"/>
        </w:rPr>
        <w:t xml:space="preserve">principali </w:t>
      </w:r>
      <w:r w:rsidR="00F146B7" w:rsidRPr="00634F36">
        <w:rPr>
          <w:rFonts w:ascii="Bookman Old Style" w:hAnsi="Bookman Old Style"/>
        </w:rPr>
        <w:t xml:space="preserve">misure </w:t>
      </w:r>
      <w:r w:rsidR="00663832" w:rsidRPr="00634F36">
        <w:rPr>
          <w:rFonts w:ascii="Bookman Old Style" w:hAnsi="Bookman Old Style"/>
        </w:rPr>
        <w:t xml:space="preserve"> di</w:t>
      </w:r>
      <w:r w:rsidR="00741C22">
        <w:rPr>
          <w:rFonts w:ascii="Bookman Old Style" w:hAnsi="Bookman Old Style"/>
        </w:rPr>
        <w:t xml:space="preserve"> potenziale</w:t>
      </w:r>
      <w:r w:rsidR="00663832" w:rsidRPr="00634F36">
        <w:rPr>
          <w:rFonts w:ascii="Bookman Old Style" w:hAnsi="Bookman Old Style"/>
        </w:rPr>
        <w:t xml:space="preserve"> interesse per i Comuni e </w:t>
      </w:r>
      <w:r w:rsidR="00741C22">
        <w:rPr>
          <w:rFonts w:ascii="Bookman Old Style" w:hAnsi="Bookman Old Style"/>
        </w:rPr>
        <w:t xml:space="preserve">per </w:t>
      </w:r>
      <w:r w:rsidR="00663832" w:rsidRPr="00634F36">
        <w:rPr>
          <w:rFonts w:ascii="Bookman Old Style" w:hAnsi="Bookman Old Style"/>
        </w:rPr>
        <w:t>le Città metropolitane</w:t>
      </w:r>
      <w:r w:rsidR="00F146B7" w:rsidRPr="00634F36">
        <w:rPr>
          <w:rFonts w:ascii="Bookman Old Style" w:hAnsi="Bookman Old Style"/>
        </w:rPr>
        <w:t xml:space="preserve"> intervengono su più ambiti:</w:t>
      </w:r>
    </w:p>
    <w:p w:rsidR="0049561C" w:rsidRPr="00634F36" w:rsidRDefault="002F41BF" w:rsidP="008002A8">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t>r</w:t>
      </w:r>
      <w:r w:rsidR="0049561C" w:rsidRPr="00634F36">
        <w:rPr>
          <w:rFonts w:ascii="Bookman Old Style" w:hAnsi="Bookman Old Style"/>
          <w:b/>
          <w:bCs/>
          <w:u w:val="single"/>
        </w:rPr>
        <w:t>eclutamento</w:t>
      </w:r>
      <w:r w:rsidR="0049561C" w:rsidRPr="00634F36">
        <w:rPr>
          <w:rFonts w:ascii="Bookman Old Style" w:hAnsi="Bookman Old Style"/>
        </w:rPr>
        <w:t xml:space="preserve"> </w:t>
      </w:r>
      <w:r w:rsidR="00F146B7" w:rsidRPr="00634F36">
        <w:rPr>
          <w:rFonts w:ascii="Bookman Old Style" w:hAnsi="Bookman Old Style"/>
        </w:rPr>
        <w:t>di personale</w:t>
      </w:r>
      <w:r w:rsidR="007A567A" w:rsidRPr="00634F36">
        <w:rPr>
          <w:rFonts w:ascii="Bookman Old Style" w:hAnsi="Bookman Old Style"/>
        </w:rPr>
        <w:t xml:space="preserve"> a tempo determinato</w:t>
      </w:r>
      <w:r w:rsidR="008A36D4" w:rsidRPr="00634F36">
        <w:rPr>
          <w:rFonts w:ascii="Bookman Old Style" w:hAnsi="Bookman Old Style"/>
        </w:rPr>
        <w:t>,</w:t>
      </w:r>
      <w:r w:rsidR="0049561C" w:rsidRPr="00634F36">
        <w:rPr>
          <w:rFonts w:ascii="Bookman Old Style" w:hAnsi="Bookman Old Style"/>
        </w:rPr>
        <w:t xml:space="preserve"> conferimento di incarichi </w:t>
      </w:r>
      <w:r w:rsidR="00F146B7" w:rsidRPr="00634F36">
        <w:rPr>
          <w:rFonts w:ascii="Bookman Old Style" w:hAnsi="Bookman Old Style"/>
        </w:rPr>
        <w:t>professionali</w:t>
      </w:r>
      <w:r w:rsidR="008A36D4" w:rsidRPr="00634F36">
        <w:rPr>
          <w:rFonts w:ascii="Bookman Old Style" w:hAnsi="Bookman Old Style"/>
        </w:rPr>
        <w:t>, incarichi dirigenziali</w:t>
      </w:r>
      <w:r w:rsidR="00F146B7" w:rsidRPr="00634F36">
        <w:rPr>
          <w:rFonts w:ascii="Bookman Old Style" w:hAnsi="Bookman Old Style"/>
        </w:rPr>
        <w:t xml:space="preserve"> (art. 1);</w:t>
      </w:r>
    </w:p>
    <w:p w:rsidR="00AE4F1A" w:rsidRPr="00634F36" w:rsidRDefault="00C86DEE" w:rsidP="008002A8">
      <w:pPr>
        <w:pStyle w:val="Paragrafoelenco"/>
        <w:numPr>
          <w:ilvl w:val="0"/>
          <w:numId w:val="1"/>
        </w:numPr>
        <w:spacing w:line="276" w:lineRule="auto"/>
        <w:jc w:val="both"/>
        <w:rPr>
          <w:rFonts w:ascii="Bookman Old Style" w:hAnsi="Bookman Old Style"/>
        </w:rPr>
      </w:pPr>
      <w:r w:rsidRPr="00634F36">
        <w:rPr>
          <w:rFonts w:ascii="Bookman Old Style" w:hAnsi="Bookman Old Style"/>
        </w:rPr>
        <w:t xml:space="preserve">misure in materia di </w:t>
      </w:r>
      <w:r w:rsidRPr="00634F36">
        <w:rPr>
          <w:rFonts w:ascii="Bookman Old Style" w:hAnsi="Bookman Old Style"/>
          <w:b/>
          <w:bCs/>
          <w:u w:val="single"/>
        </w:rPr>
        <w:t>ordinamento professionale</w:t>
      </w:r>
      <w:r w:rsidRPr="00634F36">
        <w:rPr>
          <w:rFonts w:ascii="Bookman Old Style" w:hAnsi="Bookman Old Style"/>
        </w:rPr>
        <w:t xml:space="preserve"> dei dipendenti delle pu</w:t>
      </w:r>
      <w:r w:rsidR="009D75EF" w:rsidRPr="00634F36">
        <w:rPr>
          <w:rFonts w:ascii="Bookman Old Style" w:hAnsi="Bookman Old Style"/>
        </w:rPr>
        <w:t>bbliche amministrazioni</w:t>
      </w:r>
      <w:r w:rsidR="00F62FD1" w:rsidRPr="00634F36">
        <w:rPr>
          <w:rFonts w:ascii="Bookman Old Style" w:hAnsi="Bookman Old Style"/>
        </w:rPr>
        <w:t xml:space="preserve"> (art. 3</w:t>
      </w:r>
      <w:r w:rsidR="009D75EF" w:rsidRPr="00634F36">
        <w:rPr>
          <w:rFonts w:ascii="Bookman Old Style" w:hAnsi="Bookman Old Style"/>
        </w:rPr>
        <w:t>, comma 1</w:t>
      </w:r>
      <w:r w:rsidR="00F62FD1" w:rsidRPr="00634F36">
        <w:rPr>
          <w:rFonts w:ascii="Bookman Old Style" w:hAnsi="Bookman Old Style"/>
        </w:rPr>
        <w:t>)</w:t>
      </w:r>
      <w:r w:rsidR="00AE4F1A" w:rsidRPr="00634F36">
        <w:rPr>
          <w:rFonts w:ascii="Bookman Old Style" w:hAnsi="Bookman Old Style"/>
        </w:rPr>
        <w:t>;</w:t>
      </w:r>
    </w:p>
    <w:p w:rsidR="002F41BF" w:rsidRPr="00634F36" w:rsidRDefault="00FF1B92" w:rsidP="008002A8">
      <w:pPr>
        <w:pStyle w:val="Paragrafoelenco"/>
        <w:numPr>
          <w:ilvl w:val="0"/>
          <w:numId w:val="1"/>
        </w:numPr>
        <w:spacing w:line="276" w:lineRule="auto"/>
        <w:jc w:val="both"/>
        <w:rPr>
          <w:rFonts w:ascii="Bookman Old Style" w:hAnsi="Bookman Old Style"/>
        </w:rPr>
      </w:pPr>
      <w:r w:rsidRPr="00634F36">
        <w:rPr>
          <w:rFonts w:ascii="Bookman Old Style" w:hAnsi="Bookman Old Style"/>
        </w:rPr>
        <w:t xml:space="preserve">misure in materia di </w:t>
      </w:r>
      <w:r w:rsidRPr="00634F36">
        <w:rPr>
          <w:rFonts w:ascii="Bookman Old Style" w:hAnsi="Bookman Old Style"/>
          <w:b/>
          <w:bCs/>
          <w:u w:val="single"/>
        </w:rPr>
        <w:t>passaggio diretto</w:t>
      </w:r>
      <w:r w:rsidRPr="00634F36">
        <w:rPr>
          <w:rFonts w:ascii="Bookman Old Style" w:hAnsi="Bookman Old Style"/>
        </w:rPr>
        <w:t xml:space="preserve"> di dipendenti tra pubbliche amministrazioni (art. 3, comma 7);</w:t>
      </w:r>
    </w:p>
    <w:p w:rsidR="00375526" w:rsidRPr="00634F36" w:rsidRDefault="00AE4F1A" w:rsidP="008002A8">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t>Piano integrato di a</w:t>
      </w:r>
      <w:r w:rsidR="00294F9D" w:rsidRPr="00634F36">
        <w:rPr>
          <w:rFonts w:ascii="Bookman Old Style" w:hAnsi="Bookman Old Style"/>
          <w:b/>
          <w:bCs/>
          <w:u w:val="single"/>
        </w:rPr>
        <w:t>ttività e organizzazione</w:t>
      </w:r>
      <w:r w:rsidR="00294F9D" w:rsidRPr="00634F36">
        <w:rPr>
          <w:rFonts w:ascii="Bookman Old Style" w:hAnsi="Bookman Old Style"/>
        </w:rPr>
        <w:t xml:space="preserve"> (art. 6);</w:t>
      </w:r>
    </w:p>
    <w:p w:rsidR="00B634D8" w:rsidRDefault="00B634D8" w:rsidP="008002A8">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t>incarichi di collaborazione</w:t>
      </w:r>
      <w:r w:rsidRPr="00634F36">
        <w:rPr>
          <w:rFonts w:ascii="Bookman Old Style" w:hAnsi="Bookman Old Style"/>
        </w:rPr>
        <w:t xml:space="preserve"> per il supporto ai procedimenti amministrativi connessi all’attuazione del PNRR (art. 9).</w:t>
      </w:r>
    </w:p>
    <w:p w:rsidR="009C0E72" w:rsidRPr="00F0316C" w:rsidRDefault="00D25E45" w:rsidP="00F0316C">
      <w:pPr>
        <w:spacing w:line="276" w:lineRule="auto"/>
        <w:jc w:val="both"/>
        <w:rPr>
          <w:rFonts w:ascii="Bookman Old Style" w:hAnsi="Bookman Old Style"/>
          <w:bCs/>
        </w:rPr>
      </w:pPr>
      <w:r w:rsidRPr="00F0316C">
        <w:rPr>
          <w:rFonts w:ascii="Bookman Old Style" w:hAnsi="Bookman Old Style"/>
          <w:bCs/>
        </w:rPr>
        <w:t>Come meglio specificato di seguito, si sottolinea</w:t>
      </w:r>
      <w:r w:rsidR="009C0E72" w:rsidRPr="00F0316C">
        <w:rPr>
          <w:rFonts w:ascii="Bookman Old Style" w:hAnsi="Bookman Old Style"/>
          <w:bCs/>
        </w:rPr>
        <w:t xml:space="preserve"> </w:t>
      </w:r>
      <w:r w:rsidR="00741C22">
        <w:rPr>
          <w:rFonts w:ascii="Bookman Old Style" w:hAnsi="Bookman Old Style"/>
          <w:bCs/>
        </w:rPr>
        <w:t xml:space="preserve">che </w:t>
      </w:r>
      <w:r w:rsidR="00741C22" w:rsidRPr="00741C22">
        <w:rPr>
          <w:rFonts w:ascii="Bookman Old Style" w:hAnsi="Bookman Old Style"/>
          <w:bCs/>
          <w:u w:val="single"/>
        </w:rPr>
        <w:t xml:space="preserve">il provvedimento di legge indica in modo tassativo </w:t>
      </w:r>
      <w:r w:rsidRPr="00741C22">
        <w:rPr>
          <w:rFonts w:ascii="Bookman Old Style" w:hAnsi="Bookman Old Style"/>
          <w:bCs/>
          <w:u w:val="single"/>
        </w:rPr>
        <w:t xml:space="preserve">la diretta applicabilità </w:t>
      </w:r>
      <w:r w:rsidR="00741C22" w:rsidRPr="00741C22">
        <w:rPr>
          <w:rFonts w:ascii="Bookman Old Style" w:hAnsi="Bookman Old Style"/>
          <w:bCs/>
          <w:u w:val="single"/>
        </w:rPr>
        <w:t>a tutte le Pubbliche Amministrazioni</w:t>
      </w:r>
      <w:r w:rsidRPr="00741C22">
        <w:rPr>
          <w:rFonts w:ascii="Bookman Old Style" w:hAnsi="Bookman Old Style"/>
          <w:bCs/>
          <w:u w:val="single"/>
        </w:rPr>
        <w:t xml:space="preserve"> de</w:t>
      </w:r>
      <w:r w:rsidR="009C0E72" w:rsidRPr="00741C22">
        <w:rPr>
          <w:rFonts w:ascii="Bookman Old Style" w:hAnsi="Bookman Old Style"/>
          <w:bCs/>
          <w:u w:val="single"/>
        </w:rPr>
        <w:t>lle forme straordinarie  di</w:t>
      </w:r>
      <w:r w:rsidRPr="00741C22">
        <w:rPr>
          <w:rFonts w:ascii="Bookman Old Style" w:hAnsi="Bookman Old Style"/>
          <w:bCs/>
          <w:u w:val="single"/>
        </w:rPr>
        <w:t xml:space="preserve"> reclutamento</w:t>
      </w:r>
      <w:r w:rsidR="00741C22" w:rsidRPr="00741C22">
        <w:rPr>
          <w:rFonts w:ascii="Bookman Old Style" w:hAnsi="Bookman Old Style"/>
          <w:bCs/>
          <w:u w:val="single"/>
        </w:rPr>
        <w:t xml:space="preserve"> solo</w:t>
      </w:r>
      <w:r w:rsidR="009C0E72" w:rsidRPr="00741C22">
        <w:rPr>
          <w:rFonts w:ascii="Bookman Old Style" w:hAnsi="Bookman Old Style"/>
          <w:bCs/>
          <w:u w:val="single"/>
        </w:rPr>
        <w:t xml:space="preserve"> </w:t>
      </w:r>
      <w:r w:rsidR="00741C22" w:rsidRPr="00741C22">
        <w:rPr>
          <w:rFonts w:ascii="Bookman Old Style" w:hAnsi="Bookman Old Style"/>
          <w:bCs/>
          <w:u w:val="single"/>
        </w:rPr>
        <w:t xml:space="preserve">laddove queste siano </w:t>
      </w:r>
      <w:r w:rsidRPr="00741C22">
        <w:rPr>
          <w:rFonts w:ascii="Bookman Old Style" w:hAnsi="Bookman Old Style"/>
          <w:bCs/>
          <w:u w:val="single"/>
        </w:rPr>
        <w:t xml:space="preserve">soggetti </w:t>
      </w:r>
      <w:r w:rsidR="009C0E72" w:rsidRPr="00741C22">
        <w:rPr>
          <w:rFonts w:ascii="Bookman Old Style" w:hAnsi="Bookman Old Style"/>
          <w:bCs/>
          <w:u w:val="single"/>
        </w:rPr>
        <w:t>titolari di investimenti a valere sulle risorse PNRR.</w:t>
      </w:r>
      <w:r w:rsidR="009C0E72" w:rsidRPr="00F0316C">
        <w:rPr>
          <w:rFonts w:ascii="Bookman Old Style" w:hAnsi="Bookman Old Style"/>
          <w:bCs/>
        </w:rPr>
        <w:t xml:space="preserve"> </w:t>
      </w:r>
    </w:p>
    <w:p w:rsidR="00B73465" w:rsidRPr="00634F36" w:rsidRDefault="009C0E72" w:rsidP="008002A8">
      <w:pPr>
        <w:spacing w:line="276" w:lineRule="auto"/>
        <w:jc w:val="both"/>
        <w:rPr>
          <w:rFonts w:ascii="Bookman Old Style" w:hAnsi="Bookman Old Style"/>
        </w:rPr>
      </w:pPr>
      <w:r>
        <w:rPr>
          <w:rFonts w:ascii="Bookman Old Style" w:hAnsi="Bookman Old Style"/>
        </w:rPr>
        <w:t xml:space="preserve">La legge di </w:t>
      </w:r>
      <w:r w:rsidR="00F0316C">
        <w:rPr>
          <w:rFonts w:ascii="Bookman Old Style" w:hAnsi="Bookman Old Style"/>
        </w:rPr>
        <w:t>conversione ha apportato poi</w:t>
      </w:r>
      <w:r w:rsidR="00555E87" w:rsidRPr="00634F36">
        <w:rPr>
          <w:rFonts w:ascii="Bookman Old Style" w:hAnsi="Bookman Old Style"/>
        </w:rPr>
        <w:t xml:space="preserve">, </w:t>
      </w:r>
      <w:r w:rsidR="002217A2" w:rsidRPr="00634F36">
        <w:rPr>
          <w:rFonts w:ascii="Bookman Old Style" w:hAnsi="Bookman Old Style"/>
        </w:rPr>
        <w:t xml:space="preserve">anche </w:t>
      </w:r>
      <w:r w:rsidR="00555E87" w:rsidRPr="00634F36">
        <w:rPr>
          <w:rFonts w:ascii="Bookman Old Style" w:hAnsi="Bookman Old Style"/>
        </w:rPr>
        <w:t>su richies</w:t>
      </w:r>
      <w:r w:rsidR="00F0316C">
        <w:rPr>
          <w:rFonts w:ascii="Bookman Old Style" w:hAnsi="Bookman Old Style"/>
        </w:rPr>
        <w:t xml:space="preserve">ta dell’ANCI, alcune </w:t>
      </w:r>
      <w:r w:rsidR="00555E87" w:rsidRPr="00634F36">
        <w:rPr>
          <w:rFonts w:ascii="Bookman Old Style" w:hAnsi="Bookman Old Style"/>
        </w:rPr>
        <w:t>mo</w:t>
      </w:r>
      <w:r w:rsidR="00EB65D2" w:rsidRPr="00634F36">
        <w:rPr>
          <w:rFonts w:ascii="Bookman Old Style" w:hAnsi="Bookman Old Style"/>
        </w:rPr>
        <w:t>difiche di notevole interesse per i Comuni</w:t>
      </w:r>
      <w:r>
        <w:rPr>
          <w:rFonts w:ascii="Bookman Old Style" w:hAnsi="Bookman Old Style"/>
        </w:rPr>
        <w:t xml:space="preserve"> e Città Metropolitane</w:t>
      </w:r>
      <w:r w:rsidR="00EB65D2" w:rsidRPr="00634F36">
        <w:rPr>
          <w:rFonts w:ascii="Bookman Old Style" w:hAnsi="Bookman Old Style"/>
        </w:rPr>
        <w:t>, di cui si d</w:t>
      </w:r>
      <w:r>
        <w:rPr>
          <w:rFonts w:ascii="Bookman Old Style" w:hAnsi="Bookman Old Style"/>
        </w:rPr>
        <w:t xml:space="preserve">irà successivamente. </w:t>
      </w:r>
      <w:r w:rsidR="00B46805" w:rsidRPr="00634F36">
        <w:rPr>
          <w:rFonts w:ascii="Bookman Old Style" w:hAnsi="Bookman Old Style"/>
        </w:rPr>
        <w:t xml:space="preserve">. Tali </w:t>
      </w:r>
      <w:r w:rsidR="002217A2" w:rsidRPr="00634F36">
        <w:rPr>
          <w:rFonts w:ascii="Bookman Old Style" w:hAnsi="Bookman Old Style"/>
        </w:rPr>
        <w:t>modifiche riguardano in particolare:</w:t>
      </w:r>
    </w:p>
    <w:p w:rsidR="002217A2" w:rsidRPr="00634F36" w:rsidRDefault="002217A2" w:rsidP="002217A2">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t>estensione temporale dell’applicabilità delle misure per il superamento de</w:t>
      </w:r>
      <w:r w:rsidR="003E2AC3" w:rsidRPr="00634F36">
        <w:rPr>
          <w:rFonts w:ascii="Bookman Old Style" w:hAnsi="Bookman Old Style"/>
          <w:b/>
          <w:bCs/>
          <w:u w:val="single"/>
        </w:rPr>
        <w:t xml:space="preserve">l precariato </w:t>
      </w:r>
      <w:r w:rsidR="003E2AC3" w:rsidRPr="00634F36">
        <w:rPr>
          <w:rFonts w:ascii="Bookman Old Style" w:hAnsi="Bookman Old Style"/>
        </w:rPr>
        <w:t>nella pubblica amministrazione di cui all’art. 20 del D.Lgs. n. 75/2017;</w:t>
      </w:r>
    </w:p>
    <w:p w:rsidR="003E2AC3" w:rsidRPr="00634F36" w:rsidRDefault="003E2AC3" w:rsidP="002217A2">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t xml:space="preserve">specifica disciplina </w:t>
      </w:r>
      <w:r w:rsidR="00CF72E3" w:rsidRPr="00634F36">
        <w:rPr>
          <w:rFonts w:ascii="Bookman Old Style" w:hAnsi="Bookman Old Style"/>
          <w:b/>
          <w:bCs/>
          <w:u w:val="single"/>
        </w:rPr>
        <w:t>del nulla-osta per i processi di mobilità in uscita negli Enti locali</w:t>
      </w:r>
      <w:r w:rsidR="00CF72E3" w:rsidRPr="00634F36">
        <w:rPr>
          <w:rFonts w:ascii="Bookman Old Style" w:hAnsi="Bookman Old Style"/>
        </w:rPr>
        <w:t>;</w:t>
      </w:r>
    </w:p>
    <w:p w:rsidR="00CF72E3" w:rsidRPr="00634F36" w:rsidRDefault="00CF72E3" w:rsidP="002217A2">
      <w:pPr>
        <w:pStyle w:val="Paragrafoelenco"/>
        <w:numPr>
          <w:ilvl w:val="0"/>
          <w:numId w:val="1"/>
        </w:numPr>
        <w:spacing w:line="276" w:lineRule="auto"/>
        <w:jc w:val="both"/>
        <w:rPr>
          <w:rFonts w:ascii="Bookman Old Style" w:hAnsi="Bookman Old Style"/>
        </w:rPr>
      </w:pPr>
      <w:r w:rsidRPr="00634F36">
        <w:rPr>
          <w:rFonts w:ascii="Bookman Old Style" w:hAnsi="Bookman Old Style"/>
          <w:b/>
          <w:bCs/>
          <w:u w:val="single"/>
        </w:rPr>
        <w:lastRenderedPageBreak/>
        <w:t>alleggerimento della sanzione del divieto assunzionale in caso di mancato rispetto del termine per l’approvazione del bilancio</w:t>
      </w:r>
      <w:r w:rsidRPr="00634F36">
        <w:rPr>
          <w:rFonts w:ascii="Bookman Old Style" w:hAnsi="Bookman Old Style"/>
        </w:rPr>
        <w:t xml:space="preserve"> di previsione, del rendiconto, del bilancio consolidato, e degli altri adempimenti previsti dall’art. 9, comma 1-quinquies, del D.L. n. 113/2016;</w:t>
      </w:r>
    </w:p>
    <w:p w:rsidR="00C651A1" w:rsidRPr="00634F36" w:rsidRDefault="00C651A1" w:rsidP="00C651A1">
      <w:pPr>
        <w:pStyle w:val="Paragrafoelenco"/>
        <w:numPr>
          <w:ilvl w:val="0"/>
          <w:numId w:val="1"/>
        </w:numPr>
        <w:rPr>
          <w:rFonts w:ascii="Bookman Old Style" w:hAnsi="Bookman Old Style"/>
        </w:rPr>
      </w:pPr>
      <w:r w:rsidRPr="00634F36">
        <w:rPr>
          <w:rFonts w:ascii="Bookman Old Style" w:hAnsi="Bookman Old Style"/>
          <w:b/>
          <w:bCs/>
          <w:u w:val="single"/>
        </w:rPr>
        <w:t>selezioni uniche per la formazione di elenchi di idonei</w:t>
      </w:r>
      <w:r w:rsidRPr="00634F36">
        <w:rPr>
          <w:rFonts w:ascii="Bookman Old Style" w:hAnsi="Bookman Old Style"/>
        </w:rPr>
        <w:t xml:space="preserve"> all'assunzione nei ruoli degli Enti locali;</w:t>
      </w:r>
    </w:p>
    <w:p w:rsidR="00CF72E3" w:rsidRPr="00634F36" w:rsidRDefault="008C7115" w:rsidP="002217A2">
      <w:pPr>
        <w:pStyle w:val="Paragrafoelenco"/>
        <w:numPr>
          <w:ilvl w:val="0"/>
          <w:numId w:val="1"/>
        </w:numPr>
        <w:spacing w:line="276" w:lineRule="auto"/>
        <w:jc w:val="both"/>
        <w:rPr>
          <w:rFonts w:ascii="Bookman Old Style" w:hAnsi="Bookman Old Style"/>
        </w:rPr>
      </w:pPr>
      <w:r w:rsidRPr="00634F36">
        <w:rPr>
          <w:rFonts w:ascii="Bookman Old Style" w:hAnsi="Bookman Old Style"/>
        </w:rPr>
        <w:t>uffici associati per l’attuazione e il monitoraggio dei Piano integrato di attività e organizzazione.</w:t>
      </w:r>
    </w:p>
    <w:p w:rsidR="00555E87" w:rsidRPr="00634F36" w:rsidRDefault="00555E87" w:rsidP="008002A8">
      <w:pPr>
        <w:spacing w:line="276" w:lineRule="auto"/>
        <w:jc w:val="both"/>
        <w:rPr>
          <w:rFonts w:ascii="Bookman Old Style" w:hAnsi="Bookman Old Style"/>
        </w:rPr>
      </w:pPr>
    </w:p>
    <w:p w:rsidR="00B73465" w:rsidRPr="00634F36" w:rsidRDefault="00B73465" w:rsidP="008002A8">
      <w:pPr>
        <w:pStyle w:val="Paragrafoelenco"/>
        <w:numPr>
          <w:ilvl w:val="0"/>
          <w:numId w:val="3"/>
        </w:numPr>
        <w:spacing w:line="276" w:lineRule="auto"/>
        <w:jc w:val="both"/>
        <w:rPr>
          <w:rFonts w:ascii="Bookman Old Style" w:hAnsi="Bookman Old Style"/>
          <w:b/>
          <w:bCs/>
        </w:rPr>
      </w:pPr>
      <w:r w:rsidRPr="00634F36">
        <w:rPr>
          <w:rFonts w:ascii="Bookman Old Style" w:hAnsi="Bookman Old Style"/>
          <w:b/>
          <w:bCs/>
        </w:rPr>
        <w:t>Assunzioni a tempo determinato e incarichi di collaborazione professionale</w:t>
      </w:r>
      <w:r w:rsidR="00F9545D" w:rsidRPr="00634F36">
        <w:rPr>
          <w:rFonts w:ascii="Bookman Old Style" w:hAnsi="Bookman Old Style"/>
          <w:b/>
          <w:bCs/>
        </w:rPr>
        <w:t xml:space="preserve"> (art. 1)</w:t>
      </w:r>
    </w:p>
    <w:p w:rsidR="00923FC3" w:rsidRPr="00634F36" w:rsidRDefault="00262B8C" w:rsidP="008002A8">
      <w:pPr>
        <w:spacing w:line="276" w:lineRule="auto"/>
        <w:jc w:val="both"/>
        <w:rPr>
          <w:rFonts w:ascii="Bookman Old Style" w:hAnsi="Bookman Old Style"/>
        </w:rPr>
      </w:pPr>
      <w:r w:rsidRPr="00634F36">
        <w:rPr>
          <w:rFonts w:ascii="Bookman Old Style" w:hAnsi="Bookman Old Style"/>
        </w:rPr>
        <w:t xml:space="preserve">L’art. 1 </w:t>
      </w:r>
      <w:r w:rsidR="00F9545D" w:rsidRPr="00634F36">
        <w:rPr>
          <w:rFonts w:ascii="Bookman Old Style" w:hAnsi="Bookman Old Style"/>
        </w:rPr>
        <w:t>(</w:t>
      </w:r>
      <w:r w:rsidR="00F9545D" w:rsidRPr="00634F36">
        <w:rPr>
          <w:rFonts w:ascii="Bookman Old Style" w:hAnsi="Bookman Old Style"/>
          <w:i/>
          <w:iCs/>
        </w:rPr>
        <w:t>Modalità speciali per il reclutamento e il conferimento di incarichi professionali per l’attuazione del PNRR da parte delle amministrazioni pubbliche</w:t>
      </w:r>
      <w:r w:rsidR="00F9545D" w:rsidRPr="00634F36">
        <w:rPr>
          <w:rFonts w:ascii="Bookman Old Style" w:hAnsi="Bookman Old Style"/>
        </w:rPr>
        <w:t xml:space="preserve">) </w:t>
      </w:r>
      <w:r w:rsidR="00952518" w:rsidRPr="00634F36">
        <w:rPr>
          <w:rFonts w:ascii="Bookman Old Style" w:hAnsi="Bookman Old Style"/>
        </w:rPr>
        <w:t xml:space="preserve">contiene una pluralità di misure finalizzate a garantire il potenziamento della capacità amministrativa delle PPAA attraverso tre fondamentali </w:t>
      </w:r>
      <w:r w:rsidR="00526E12" w:rsidRPr="00634F36">
        <w:rPr>
          <w:rFonts w:ascii="Bookman Old Style" w:hAnsi="Bookman Old Style"/>
        </w:rPr>
        <w:t>linee di azione</w:t>
      </w:r>
      <w:r w:rsidR="00952518" w:rsidRPr="00634F36">
        <w:rPr>
          <w:rFonts w:ascii="Bookman Old Style" w:hAnsi="Bookman Old Style"/>
        </w:rPr>
        <w:t xml:space="preserve">: </w:t>
      </w:r>
      <w:r w:rsidR="00952518" w:rsidRPr="00741C22">
        <w:rPr>
          <w:rFonts w:ascii="Bookman Old Style" w:hAnsi="Bookman Old Style"/>
          <w:u w:val="single"/>
        </w:rPr>
        <w:t>assunzioni straordinarie a tempo determinato</w:t>
      </w:r>
      <w:r w:rsidR="005878BE" w:rsidRPr="00741C22">
        <w:rPr>
          <w:rFonts w:ascii="Bookman Old Style" w:hAnsi="Bookman Old Style"/>
          <w:u w:val="single"/>
        </w:rPr>
        <w:t xml:space="preserve"> di personale qualificato</w:t>
      </w:r>
      <w:r w:rsidR="00605BD8" w:rsidRPr="00634F36">
        <w:rPr>
          <w:rFonts w:ascii="Bookman Old Style" w:hAnsi="Bookman Old Style"/>
        </w:rPr>
        <w:t xml:space="preserve">, </w:t>
      </w:r>
      <w:r w:rsidR="000A50C5" w:rsidRPr="00741C22">
        <w:rPr>
          <w:rFonts w:ascii="Bookman Old Style" w:hAnsi="Bookman Old Style"/>
          <w:u w:val="single"/>
        </w:rPr>
        <w:t>incarichi di collaborazione professionale</w:t>
      </w:r>
      <w:r w:rsidR="000A50C5" w:rsidRPr="00634F36">
        <w:rPr>
          <w:rFonts w:ascii="Bookman Old Style" w:hAnsi="Bookman Old Style"/>
        </w:rPr>
        <w:t xml:space="preserve"> </w:t>
      </w:r>
      <w:r w:rsidR="005878BE" w:rsidRPr="00634F36">
        <w:rPr>
          <w:rFonts w:ascii="Bookman Old Style" w:hAnsi="Bookman Old Style"/>
        </w:rPr>
        <w:t xml:space="preserve">mirati </w:t>
      </w:r>
      <w:r w:rsidR="000A50C5" w:rsidRPr="00634F36">
        <w:rPr>
          <w:rFonts w:ascii="Bookman Old Style" w:hAnsi="Bookman Old Style"/>
        </w:rPr>
        <w:t xml:space="preserve">e </w:t>
      </w:r>
      <w:r w:rsidR="005878BE" w:rsidRPr="00634F36">
        <w:rPr>
          <w:rFonts w:ascii="Bookman Old Style" w:hAnsi="Bookman Old Style"/>
        </w:rPr>
        <w:t xml:space="preserve">ampliamento del </w:t>
      </w:r>
      <w:r w:rsidR="005878BE" w:rsidRPr="00741C22">
        <w:rPr>
          <w:rFonts w:ascii="Bookman Old Style" w:hAnsi="Bookman Old Style"/>
          <w:u w:val="single"/>
        </w:rPr>
        <w:t>contingente di dirigenti</w:t>
      </w:r>
      <w:r w:rsidR="000A50C5" w:rsidRPr="00741C22">
        <w:rPr>
          <w:rFonts w:ascii="Bookman Old Style" w:hAnsi="Bookman Old Style"/>
          <w:u w:val="single"/>
        </w:rPr>
        <w:t xml:space="preserve"> a contratto</w:t>
      </w:r>
      <w:r w:rsidR="000A50C5" w:rsidRPr="00634F36">
        <w:rPr>
          <w:rFonts w:ascii="Bookman Old Style" w:hAnsi="Bookman Old Style"/>
        </w:rPr>
        <w:t>.</w:t>
      </w:r>
      <w:r w:rsidR="00952518" w:rsidRPr="00634F36">
        <w:rPr>
          <w:rFonts w:ascii="Bookman Old Style" w:hAnsi="Bookman Old Style"/>
        </w:rPr>
        <w:t xml:space="preserve"> </w:t>
      </w:r>
    </w:p>
    <w:p w:rsidR="00F86DFD" w:rsidRPr="00634F36" w:rsidRDefault="00923FC3" w:rsidP="008002A8">
      <w:pPr>
        <w:spacing w:line="276" w:lineRule="auto"/>
        <w:jc w:val="both"/>
        <w:rPr>
          <w:rFonts w:ascii="Bookman Old Style" w:hAnsi="Bookman Old Style"/>
        </w:rPr>
      </w:pPr>
      <w:r w:rsidRPr="00634F36">
        <w:rPr>
          <w:rFonts w:ascii="Bookman Old Style" w:hAnsi="Bookman Old Style"/>
        </w:rPr>
        <w:t xml:space="preserve">In particolare, al comma 1 </w:t>
      </w:r>
      <w:r w:rsidR="00AB0A35" w:rsidRPr="00634F36">
        <w:rPr>
          <w:rFonts w:ascii="Bookman Old Style" w:hAnsi="Bookman Old Style"/>
        </w:rPr>
        <w:t xml:space="preserve">si prevede che </w:t>
      </w:r>
      <w:r w:rsidR="00262B8C" w:rsidRPr="00634F36">
        <w:rPr>
          <w:rFonts w:ascii="Bookman Old Style" w:hAnsi="Bookman Old Style"/>
          <w:i/>
          <w:iCs/>
          <w:u w:val="single"/>
        </w:rPr>
        <w:t xml:space="preserve">le PPAA titolari di interventi </w:t>
      </w:r>
      <w:r w:rsidR="00A46D74" w:rsidRPr="00634F36">
        <w:rPr>
          <w:rFonts w:ascii="Bookman Old Style" w:hAnsi="Bookman Old Style"/>
          <w:i/>
          <w:iCs/>
          <w:u w:val="single"/>
        </w:rPr>
        <w:t>previsti nel PNRR</w:t>
      </w:r>
      <w:r w:rsidR="00A46D74" w:rsidRPr="00634F36">
        <w:rPr>
          <w:rFonts w:ascii="Bookman Old Style" w:hAnsi="Bookman Old Style"/>
        </w:rPr>
        <w:t xml:space="preserve"> </w:t>
      </w:r>
      <w:r w:rsidR="00AB0A35" w:rsidRPr="00741C22">
        <w:rPr>
          <w:rFonts w:ascii="Bookman Old Style" w:hAnsi="Bookman Old Style"/>
          <w:u w:val="single"/>
        </w:rPr>
        <w:t xml:space="preserve">possono </w:t>
      </w:r>
      <w:r w:rsidR="00A46D74" w:rsidRPr="00741C22">
        <w:rPr>
          <w:rFonts w:ascii="Bookman Old Style" w:hAnsi="Bookman Old Style"/>
          <w:u w:val="single"/>
        </w:rPr>
        <w:t xml:space="preserve">porre a carico del Piano le spese per assunzioni di personale a </w:t>
      </w:r>
      <w:r w:rsidR="00924EBF" w:rsidRPr="00741C22">
        <w:rPr>
          <w:rFonts w:ascii="Bookman Old Style" w:hAnsi="Bookman Old Style"/>
          <w:u w:val="single"/>
        </w:rPr>
        <w:t xml:space="preserve">tempo determinato </w:t>
      </w:r>
      <w:r w:rsidR="00F708D5" w:rsidRPr="00741C22">
        <w:rPr>
          <w:rFonts w:ascii="Bookman Old Style" w:hAnsi="Bookman Old Style"/>
          <w:u w:val="single"/>
        </w:rPr>
        <w:t>specificamente destinato a realizzare i progetti di cui hanno la diretta titolarità di attuazione, nei limiti degli importi previsti dalle corrispondenti voci di costo del quadro economico del progetto.</w:t>
      </w:r>
    </w:p>
    <w:p w:rsidR="00C16137" w:rsidRDefault="009C0E72" w:rsidP="00876755">
      <w:pPr>
        <w:spacing w:line="276" w:lineRule="auto"/>
        <w:jc w:val="both"/>
        <w:rPr>
          <w:rFonts w:ascii="Bookman Old Style" w:hAnsi="Bookman Old Style"/>
          <w:b/>
          <w:bCs/>
        </w:rPr>
      </w:pPr>
      <w:r>
        <w:rPr>
          <w:rFonts w:ascii="Bookman Old Style" w:hAnsi="Bookman Old Style"/>
          <w:b/>
          <w:bCs/>
        </w:rPr>
        <w:t>Come già detto in premessa, i</w:t>
      </w:r>
      <w:r w:rsidR="005148C1" w:rsidRPr="00634F36">
        <w:rPr>
          <w:rFonts w:ascii="Bookman Old Style" w:hAnsi="Bookman Old Style"/>
          <w:b/>
          <w:bCs/>
        </w:rPr>
        <w:t>l riferimento alle amministrazioni “</w:t>
      </w:r>
      <w:r w:rsidR="005148C1" w:rsidRPr="00634F36">
        <w:rPr>
          <w:rFonts w:ascii="Bookman Old Style" w:hAnsi="Bookman Old Style"/>
          <w:b/>
          <w:bCs/>
          <w:i/>
          <w:iCs/>
          <w:u w:val="single"/>
        </w:rPr>
        <w:t>titolari di interventi previsti nel PNRR</w:t>
      </w:r>
      <w:r w:rsidR="005148C1" w:rsidRPr="00634F36">
        <w:rPr>
          <w:rFonts w:ascii="Bookman Old Style" w:hAnsi="Bookman Old Style"/>
          <w:b/>
          <w:bCs/>
        </w:rPr>
        <w:t>” non rappresenta in modo chiaro quale sia l’ambito</w:t>
      </w:r>
      <w:r w:rsidR="00741C22">
        <w:rPr>
          <w:rFonts w:ascii="Bookman Old Style" w:hAnsi="Bookman Old Style"/>
          <w:b/>
          <w:bCs/>
        </w:rPr>
        <w:t xml:space="preserve"> soggettivo</w:t>
      </w:r>
      <w:r w:rsidR="005148C1" w:rsidRPr="00634F36">
        <w:rPr>
          <w:rFonts w:ascii="Bookman Old Style" w:hAnsi="Bookman Old Style"/>
          <w:b/>
          <w:bCs/>
        </w:rPr>
        <w:t xml:space="preserve"> di applicazione della norma</w:t>
      </w:r>
      <w:r w:rsidR="00741C22">
        <w:rPr>
          <w:rFonts w:ascii="Bookman Old Style" w:hAnsi="Bookman Old Style"/>
          <w:b/>
          <w:bCs/>
        </w:rPr>
        <w:t xml:space="preserve">. Si tratta di una formula oltre modo ambigua: chi è titolare dell’intervento? </w:t>
      </w:r>
      <w:r w:rsidR="00EE375E">
        <w:rPr>
          <w:rFonts w:ascii="Bookman Old Style" w:hAnsi="Bookman Old Style"/>
          <w:b/>
          <w:bCs/>
        </w:rPr>
        <w:t xml:space="preserve">Uno dei </w:t>
      </w:r>
      <w:r w:rsidR="00741C22">
        <w:rPr>
          <w:rFonts w:ascii="Bookman Old Style" w:hAnsi="Bookman Old Style"/>
          <w:b/>
          <w:bCs/>
        </w:rPr>
        <w:t>Minister</w:t>
      </w:r>
      <w:r w:rsidR="00EE375E">
        <w:rPr>
          <w:rFonts w:ascii="Bookman Old Style" w:hAnsi="Bookman Old Style"/>
          <w:b/>
          <w:bCs/>
        </w:rPr>
        <w:t>i</w:t>
      </w:r>
      <w:r w:rsidR="00741C22">
        <w:rPr>
          <w:rFonts w:ascii="Bookman Old Style" w:hAnsi="Bookman Old Style"/>
          <w:b/>
          <w:bCs/>
        </w:rPr>
        <w:t xml:space="preserve">  assegnatari della misura prevista nel PNRR? </w:t>
      </w:r>
      <w:r w:rsidR="00C16137">
        <w:rPr>
          <w:rFonts w:ascii="Bookman Old Style" w:hAnsi="Bookman Old Style"/>
          <w:b/>
          <w:bCs/>
        </w:rPr>
        <w:t xml:space="preserve">La PPAA che  partecipa al bando ed è assegnataria del finanziamento? </w:t>
      </w:r>
      <w:r w:rsidR="00EE375E">
        <w:rPr>
          <w:rFonts w:ascii="Bookman Old Style" w:hAnsi="Bookman Old Style"/>
          <w:b/>
          <w:bCs/>
        </w:rPr>
        <w:t>S</w:t>
      </w:r>
      <w:r w:rsidR="00C16137">
        <w:rPr>
          <w:rFonts w:ascii="Bookman Old Style" w:hAnsi="Bookman Old Style"/>
          <w:b/>
          <w:bCs/>
        </w:rPr>
        <w:t>embrerebbe quest’ultima l</w:t>
      </w:r>
      <w:r w:rsidR="00EE375E">
        <w:rPr>
          <w:rFonts w:ascii="Bookman Old Style" w:hAnsi="Bookman Old Style"/>
          <w:b/>
          <w:bCs/>
        </w:rPr>
        <w:t>’</w:t>
      </w:r>
      <w:r w:rsidR="00C16137">
        <w:rPr>
          <w:rFonts w:ascii="Bookman Old Style" w:hAnsi="Bookman Old Style"/>
          <w:b/>
          <w:bCs/>
        </w:rPr>
        <w:t xml:space="preserve"> interpretazione corretta essendo </w:t>
      </w:r>
      <w:r w:rsidR="00EE375E">
        <w:rPr>
          <w:rFonts w:ascii="Bookman Old Style" w:hAnsi="Bookman Old Style"/>
          <w:b/>
          <w:bCs/>
        </w:rPr>
        <w:t>una spesa esplicitamente a valer</w:t>
      </w:r>
      <w:r w:rsidR="00C16137">
        <w:rPr>
          <w:rFonts w:ascii="Bookman Old Style" w:hAnsi="Bookman Old Style"/>
          <w:b/>
          <w:bCs/>
        </w:rPr>
        <w:t>e delle risorse del PNRR e pertanto una previsione attivabile solo da chi è il destinatario finale del finanziamento.</w:t>
      </w:r>
    </w:p>
    <w:p w:rsidR="009C0E72" w:rsidRDefault="00C16137" w:rsidP="00876755">
      <w:pPr>
        <w:spacing w:line="276" w:lineRule="auto"/>
        <w:jc w:val="both"/>
        <w:rPr>
          <w:rFonts w:ascii="Bookman Old Style" w:hAnsi="Bookman Old Style"/>
          <w:b/>
          <w:bCs/>
        </w:rPr>
      </w:pPr>
      <w:r>
        <w:rPr>
          <w:rFonts w:ascii="Bookman Old Style" w:hAnsi="Bookman Old Style"/>
          <w:b/>
          <w:bCs/>
        </w:rPr>
        <w:t>Comunque, allo stato</w:t>
      </w:r>
      <w:r w:rsidR="00EE375E">
        <w:rPr>
          <w:rFonts w:ascii="Bookman Old Style" w:hAnsi="Bookman Old Style"/>
          <w:b/>
          <w:bCs/>
        </w:rPr>
        <w:t>,</w:t>
      </w:r>
      <w:r>
        <w:rPr>
          <w:rFonts w:ascii="Bookman Old Style" w:hAnsi="Bookman Old Style"/>
          <w:b/>
          <w:bCs/>
        </w:rPr>
        <w:t xml:space="preserve"> non ci è dato da capire con certezza un elemento fondamentale di tale previsione, né risulta certo quando e se verrà specificato.</w:t>
      </w:r>
      <w:r w:rsidR="00C227A5">
        <w:rPr>
          <w:rFonts w:ascii="Bookman Old Style" w:hAnsi="Bookman Old Style"/>
          <w:b/>
          <w:bCs/>
        </w:rPr>
        <w:t xml:space="preserve"> </w:t>
      </w:r>
    </w:p>
    <w:p w:rsidR="00C16137" w:rsidRDefault="00EE375E" w:rsidP="00876755">
      <w:pPr>
        <w:spacing w:line="276" w:lineRule="auto"/>
        <w:jc w:val="both"/>
        <w:rPr>
          <w:rFonts w:ascii="Bookman Old Style" w:hAnsi="Bookman Old Style"/>
          <w:b/>
          <w:bCs/>
        </w:rPr>
      </w:pPr>
      <w:r>
        <w:rPr>
          <w:rFonts w:ascii="Bookman Old Style" w:hAnsi="Bookman Old Style"/>
          <w:b/>
          <w:bCs/>
        </w:rPr>
        <w:t xml:space="preserve">Ulteriore dubbio </w:t>
      </w:r>
      <w:r w:rsidR="00C16137">
        <w:rPr>
          <w:rFonts w:ascii="Bookman Old Style" w:hAnsi="Bookman Old Style"/>
          <w:b/>
          <w:bCs/>
        </w:rPr>
        <w:t xml:space="preserve"> : spetta al soggetto individuato per la verifica di ammissibilità stabilire l’effettiva titolarità e pertanto la possibilità di attivare i contratti? </w:t>
      </w:r>
    </w:p>
    <w:p w:rsidR="00876755" w:rsidRPr="00634F36" w:rsidRDefault="00876755" w:rsidP="00876755">
      <w:pPr>
        <w:spacing w:line="276" w:lineRule="auto"/>
        <w:jc w:val="both"/>
        <w:rPr>
          <w:rFonts w:ascii="Bookman Old Style" w:hAnsi="Bookman Old Style"/>
          <w:b/>
          <w:bCs/>
        </w:rPr>
      </w:pPr>
    </w:p>
    <w:p w:rsidR="000215C7" w:rsidRPr="00634F36" w:rsidRDefault="00C227A5" w:rsidP="008002A8">
      <w:pPr>
        <w:spacing w:line="276" w:lineRule="auto"/>
        <w:jc w:val="both"/>
        <w:rPr>
          <w:rFonts w:ascii="Bookman Old Style" w:hAnsi="Bookman Old Style"/>
        </w:rPr>
      </w:pPr>
      <w:r>
        <w:rPr>
          <w:rFonts w:ascii="Bookman Old Style" w:hAnsi="Bookman Old Style"/>
        </w:rPr>
        <w:t>Detto questo, l</w:t>
      </w:r>
      <w:r w:rsidR="000215C7" w:rsidRPr="00634F36">
        <w:rPr>
          <w:rFonts w:ascii="Bookman Old Style" w:hAnsi="Bookman Old Style"/>
        </w:rPr>
        <w:t xml:space="preserve">e assunzioni in questione avvengono in deroga </w:t>
      </w:r>
      <w:r w:rsidR="00BB0C49" w:rsidRPr="00634F36">
        <w:rPr>
          <w:rFonts w:ascii="Bookman Old Style" w:hAnsi="Bookman Old Style"/>
        </w:rPr>
        <w:t>alle limitazioni imposte dall’art. 9, comma 28, del D.L. n. 78/2020, e alla dotazione organica</w:t>
      </w:r>
      <w:r w:rsidR="00500FFC" w:rsidRPr="00634F36">
        <w:rPr>
          <w:rFonts w:ascii="Bookman Old Style" w:hAnsi="Bookman Old Style"/>
        </w:rPr>
        <w:t>.</w:t>
      </w:r>
      <w:r w:rsidR="008D700B" w:rsidRPr="00634F36">
        <w:rPr>
          <w:rFonts w:ascii="Bookman Old Style" w:hAnsi="Bookman Old Style"/>
        </w:rPr>
        <w:t xml:space="preserve"> </w:t>
      </w:r>
      <w:r w:rsidR="00BB0C49" w:rsidRPr="00634F36">
        <w:rPr>
          <w:rFonts w:ascii="Bookman Old Style" w:hAnsi="Bookman Old Style"/>
        </w:rPr>
        <w:t xml:space="preserve"> </w:t>
      </w:r>
    </w:p>
    <w:p w:rsidR="00F708D5" w:rsidRPr="00612771" w:rsidRDefault="00667CDD" w:rsidP="008002A8">
      <w:pPr>
        <w:spacing w:line="276" w:lineRule="auto"/>
        <w:jc w:val="both"/>
        <w:rPr>
          <w:rFonts w:ascii="Bookman Old Style" w:hAnsi="Bookman Old Style"/>
          <w:u w:val="single"/>
        </w:rPr>
      </w:pPr>
      <w:r w:rsidRPr="00634F36">
        <w:rPr>
          <w:rFonts w:ascii="Bookman Old Style" w:hAnsi="Bookman Old Style"/>
        </w:rPr>
        <w:t>Sempre a</w:t>
      </w:r>
      <w:r w:rsidR="00C61BD0" w:rsidRPr="00634F36">
        <w:rPr>
          <w:rFonts w:ascii="Bookman Old Style" w:hAnsi="Bookman Old Style"/>
        </w:rPr>
        <w:t>i sensi del primo comma</w:t>
      </w:r>
      <w:r w:rsidR="00C227A5">
        <w:rPr>
          <w:rFonts w:ascii="Bookman Old Style" w:hAnsi="Bookman Old Style"/>
        </w:rPr>
        <w:t xml:space="preserve"> dell’articolo 1 in commento</w:t>
      </w:r>
      <w:r w:rsidR="00C16137">
        <w:rPr>
          <w:rFonts w:ascii="Bookman Old Style" w:hAnsi="Bookman Old Style"/>
        </w:rPr>
        <w:t>,</w:t>
      </w:r>
      <w:r w:rsidR="00C227A5">
        <w:rPr>
          <w:rFonts w:ascii="Bookman Old Style" w:hAnsi="Bookman Old Style"/>
        </w:rPr>
        <w:t xml:space="preserve"> </w:t>
      </w:r>
      <w:r w:rsidR="00C61BD0" w:rsidRPr="00634F36">
        <w:rPr>
          <w:rFonts w:ascii="Bookman Old Style" w:hAnsi="Bookman Old Style"/>
        </w:rPr>
        <w:t xml:space="preserve"> è</w:t>
      </w:r>
      <w:r w:rsidR="00F708D5" w:rsidRPr="00634F36">
        <w:rPr>
          <w:rFonts w:ascii="Bookman Old Style" w:hAnsi="Bookman Old Style"/>
        </w:rPr>
        <w:t xml:space="preserve"> </w:t>
      </w:r>
      <w:r w:rsidR="00C16137">
        <w:rPr>
          <w:rFonts w:ascii="Bookman Old Style" w:hAnsi="Bookman Old Style"/>
        </w:rPr>
        <w:t xml:space="preserve"> poi </w:t>
      </w:r>
      <w:r w:rsidR="00F708D5" w:rsidRPr="00634F36">
        <w:rPr>
          <w:rFonts w:ascii="Bookman Old Style" w:hAnsi="Bookman Old Style"/>
        </w:rPr>
        <w:t xml:space="preserve">prevista </w:t>
      </w:r>
      <w:r w:rsidR="00F708D5" w:rsidRPr="00612771">
        <w:rPr>
          <w:rFonts w:ascii="Bookman Old Style" w:hAnsi="Bookman Old Style"/>
          <w:u w:val="single"/>
        </w:rPr>
        <w:t>una verifica di ammissibilità di tali spese</w:t>
      </w:r>
      <w:r w:rsidR="000325FA" w:rsidRPr="00612771">
        <w:rPr>
          <w:rFonts w:ascii="Bookman Old Style" w:hAnsi="Bookman Old Style"/>
          <w:u w:val="single"/>
        </w:rPr>
        <w:t xml:space="preserve"> da parte</w:t>
      </w:r>
      <w:r w:rsidR="00397E4A" w:rsidRPr="00612771">
        <w:rPr>
          <w:rFonts w:ascii="Bookman Old Style" w:hAnsi="Bookman Old Style"/>
          <w:u w:val="single"/>
        </w:rPr>
        <w:t xml:space="preserve"> </w:t>
      </w:r>
      <w:r w:rsidR="00CC5D6A" w:rsidRPr="00612771">
        <w:rPr>
          <w:rFonts w:ascii="Bookman Old Style" w:hAnsi="Bookman Old Style"/>
          <w:u w:val="single"/>
        </w:rPr>
        <w:t>dell’amministrazione centrale</w:t>
      </w:r>
      <w:r w:rsidR="00397E4A" w:rsidRPr="00612771">
        <w:rPr>
          <w:rFonts w:ascii="Bookman Old Style" w:hAnsi="Bookman Old Style"/>
          <w:u w:val="single"/>
        </w:rPr>
        <w:t xml:space="preserve"> titolare della governance degli interventi ai sensi dell’art. 8, comma 1, del DL n. 77/2021</w:t>
      </w:r>
      <w:r w:rsidR="00EA4A05" w:rsidRPr="00612771">
        <w:rPr>
          <w:rFonts w:ascii="Bookman Old Style" w:hAnsi="Bookman Old Style"/>
          <w:u w:val="single"/>
        </w:rPr>
        <w:t>,</w:t>
      </w:r>
      <w:r w:rsidR="00CC5D6A" w:rsidRPr="00612771">
        <w:rPr>
          <w:rFonts w:ascii="Bookman Old Style" w:hAnsi="Bookman Old Style"/>
          <w:u w:val="single"/>
        </w:rPr>
        <w:t xml:space="preserve"> di concerto con la RGS</w:t>
      </w:r>
      <w:r w:rsidR="00645F23" w:rsidRPr="00612771">
        <w:rPr>
          <w:rFonts w:ascii="Bookman Old Style" w:hAnsi="Bookman Old Style"/>
          <w:u w:val="single"/>
        </w:rPr>
        <w:t xml:space="preserve"> - Servizio centrale per il PNRR</w:t>
      </w:r>
      <w:r w:rsidR="00082BB0" w:rsidRPr="00612771">
        <w:rPr>
          <w:rFonts w:ascii="Bookman Old Style" w:hAnsi="Bookman Old Style"/>
          <w:u w:val="single"/>
        </w:rPr>
        <w:t xml:space="preserve">. La medesima procedura </w:t>
      </w:r>
      <w:r w:rsidR="00C16137" w:rsidRPr="00612771">
        <w:rPr>
          <w:rFonts w:ascii="Bookman Old Style" w:hAnsi="Bookman Old Style"/>
          <w:u w:val="single"/>
        </w:rPr>
        <w:t>d</w:t>
      </w:r>
      <w:r w:rsidR="00082BB0" w:rsidRPr="00612771">
        <w:rPr>
          <w:rFonts w:ascii="Bookman Old Style" w:hAnsi="Bookman Old Style"/>
          <w:u w:val="single"/>
        </w:rPr>
        <w:t xml:space="preserve">i verifica si applica anche </w:t>
      </w:r>
      <w:r w:rsidR="00EA4A05" w:rsidRPr="00612771">
        <w:rPr>
          <w:rFonts w:ascii="Bookman Old Style" w:hAnsi="Bookman Old Style"/>
          <w:u w:val="single"/>
        </w:rPr>
        <w:t>per i servizi di supporto e consulenza esterni</w:t>
      </w:r>
      <w:r w:rsidR="008D63EF" w:rsidRPr="00612771">
        <w:rPr>
          <w:rFonts w:ascii="Bookman Old Style" w:hAnsi="Bookman Old Style"/>
          <w:u w:val="single"/>
        </w:rPr>
        <w:t xml:space="preserve"> descritti di seguito</w:t>
      </w:r>
      <w:r w:rsidR="00CC5D6A" w:rsidRPr="00612771">
        <w:rPr>
          <w:rFonts w:ascii="Bookman Old Style" w:hAnsi="Bookman Old Style"/>
          <w:u w:val="single"/>
        </w:rPr>
        <w:t>.</w:t>
      </w:r>
    </w:p>
    <w:p w:rsidR="00D90327" w:rsidRPr="00634F36" w:rsidRDefault="00D90327" w:rsidP="008002A8">
      <w:pPr>
        <w:spacing w:line="276" w:lineRule="auto"/>
        <w:jc w:val="both"/>
        <w:rPr>
          <w:rFonts w:ascii="Bookman Old Style" w:hAnsi="Bookman Old Style"/>
        </w:rPr>
      </w:pPr>
      <w:r w:rsidRPr="00634F36">
        <w:rPr>
          <w:rFonts w:ascii="Bookman Old Style" w:hAnsi="Bookman Old Style"/>
        </w:rPr>
        <w:lastRenderedPageBreak/>
        <w:t>La norma specifica che</w:t>
      </w:r>
      <w:r w:rsidR="00C16137">
        <w:rPr>
          <w:rFonts w:ascii="Bookman Old Style" w:hAnsi="Bookman Old Style"/>
        </w:rPr>
        <w:t xml:space="preserve"> in</w:t>
      </w:r>
      <w:r w:rsidRPr="00634F36">
        <w:rPr>
          <w:rFonts w:ascii="Bookman Old Style" w:hAnsi="Bookman Old Style"/>
        </w:rPr>
        <w:t xml:space="preserve"> caso di verifica negativa le Amministrazioni possono assumere il personale o conferire gli incarichi entro i limiti delle facoltà assunzionali verificate. </w:t>
      </w:r>
      <w:r w:rsidR="003501AF">
        <w:rPr>
          <w:rFonts w:ascii="Bookman Old Style" w:hAnsi="Bookman Old Style"/>
        </w:rPr>
        <w:t xml:space="preserve">A tale riguardo si fa però presente che non è prevista </w:t>
      </w:r>
      <w:r w:rsidR="003F3C62">
        <w:rPr>
          <w:rFonts w:ascii="Bookman Old Style" w:hAnsi="Bookman Old Style"/>
        </w:rPr>
        <w:t>alcuna misura agevolativa o</w:t>
      </w:r>
      <w:r w:rsidR="003501AF">
        <w:rPr>
          <w:rFonts w:ascii="Bookman Old Style" w:hAnsi="Bookman Old Style"/>
        </w:rPr>
        <w:t xml:space="preserve"> </w:t>
      </w:r>
      <w:r w:rsidR="00717EAE">
        <w:rPr>
          <w:rFonts w:ascii="Bookman Old Style" w:hAnsi="Bookman Old Style"/>
        </w:rPr>
        <w:t>deroga per le assunzioni in questione</w:t>
      </w:r>
      <w:r w:rsidR="003F3C62">
        <w:rPr>
          <w:rFonts w:ascii="Bookman Old Style" w:hAnsi="Bookman Old Style"/>
        </w:rPr>
        <w:t xml:space="preserve">, </w:t>
      </w:r>
      <w:r w:rsidR="00E36B26">
        <w:rPr>
          <w:rFonts w:ascii="Bookman Old Style" w:hAnsi="Bookman Old Style"/>
        </w:rPr>
        <w:t>ove effettuate con risorse proprie,</w:t>
      </w:r>
      <w:r w:rsidR="00717EAE">
        <w:rPr>
          <w:rFonts w:ascii="Bookman Old Style" w:hAnsi="Bookman Old Style"/>
        </w:rPr>
        <w:t xml:space="preserve"> rispetto agli ordinari limiti finanziari alla spesa per il lavoro flessibile, che per gli Enti locali è fissata alla corrispondente spesa sostenuta nell’anno 2009</w:t>
      </w:r>
      <w:r w:rsidR="00A959D6">
        <w:rPr>
          <w:rFonts w:ascii="Bookman Old Style" w:hAnsi="Bookman Old Style"/>
        </w:rPr>
        <w:t>.</w:t>
      </w:r>
    </w:p>
    <w:p w:rsidR="00F86DFD" w:rsidRPr="00634F36" w:rsidRDefault="00B739AD" w:rsidP="008002A8">
      <w:pPr>
        <w:spacing w:line="276" w:lineRule="auto"/>
        <w:jc w:val="both"/>
        <w:rPr>
          <w:rFonts w:ascii="Bookman Old Style" w:hAnsi="Bookman Old Style"/>
        </w:rPr>
      </w:pPr>
      <w:r w:rsidRPr="00634F36">
        <w:rPr>
          <w:rFonts w:ascii="Bookman Old Style" w:hAnsi="Bookman Old Style"/>
        </w:rPr>
        <w:t>Il</w:t>
      </w:r>
      <w:r w:rsidR="0047470F" w:rsidRPr="00634F36">
        <w:rPr>
          <w:rFonts w:ascii="Bookman Old Style" w:hAnsi="Bookman Old Style"/>
        </w:rPr>
        <w:t xml:space="preserve"> </w:t>
      </w:r>
      <w:r w:rsidR="0047470F" w:rsidRPr="00634F36">
        <w:rPr>
          <w:rFonts w:ascii="Bookman Old Style" w:hAnsi="Bookman Old Style"/>
          <w:u w:val="single"/>
        </w:rPr>
        <w:t>secondo comma</w:t>
      </w:r>
      <w:r w:rsidR="0047470F" w:rsidRPr="00634F36">
        <w:rPr>
          <w:rFonts w:ascii="Bookman Old Style" w:hAnsi="Bookman Old Style"/>
        </w:rPr>
        <w:t xml:space="preserve"> </w:t>
      </w:r>
      <w:r w:rsidRPr="00634F36">
        <w:rPr>
          <w:rFonts w:ascii="Bookman Old Style" w:hAnsi="Bookman Old Style"/>
        </w:rPr>
        <w:t>contiene</w:t>
      </w:r>
      <w:r w:rsidR="0047470F" w:rsidRPr="00634F36">
        <w:rPr>
          <w:rFonts w:ascii="Bookman Old Style" w:hAnsi="Bookman Old Style"/>
        </w:rPr>
        <w:t xml:space="preserve"> due importanti specificazioni</w:t>
      </w:r>
      <w:r w:rsidRPr="00634F36">
        <w:rPr>
          <w:rFonts w:ascii="Bookman Old Style" w:hAnsi="Bookman Old Style"/>
        </w:rPr>
        <w:t xml:space="preserve"> che riguardano sia i contratti a tempo determinato che gli incarichi di collaborazione</w:t>
      </w:r>
      <w:r w:rsidR="0047470F" w:rsidRPr="00634F36">
        <w:rPr>
          <w:rFonts w:ascii="Bookman Old Style" w:hAnsi="Bookman Old Style"/>
        </w:rPr>
        <w:t>:</w:t>
      </w:r>
    </w:p>
    <w:p w:rsidR="004B6BEC" w:rsidRPr="00634F36" w:rsidRDefault="004923AA" w:rsidP="008002A8">
      <w:pPr>
        <w:pStyle w:val="Paragrafoelenco"/>
        <w:numPr>
          <w:ilvl w:val="0"/>
          <w:numId w:val="4"/>
        </w:numPr>
        <w:spacing w:line="276" w:lineRule="auto"/>
        <w:jc w:val="both"/>
        <w:rPr>
          <w:rFonts w:ascii="Bookman Old Style" w:hAnsi="Bookman Old Style"/>
        </w:rPr>
      </w:pPr>
      <w:r w:rsidRPr="00634F36">
        <w:rPr>
          <w:rFonts w:ascii="Bookman Old Style" w:hAnsi="Bookman Old Style"/>
        </w:rPr>
        <w:t>tali contratti possono essere stipulati anche</w:t>
      </w:r>
      <w:r w:rsidR="00724283" w:rsidRPr="00634F36">
        <w:rPr>
          <w:rFonts w:ascii="Bookman Old Style" w:hAnsi="Bookman Old Style"/>
        </w:rPr>
        <w:t xml:space="preserve"> per un</w:t>
      </w:r>
      <w:r w:rsidRPr="00634F36">
        <w:rPr>
          <w:rFonts w:ascii="Bookman Old Style" w:hAnsi="Bookman Old Style"/>
        </w:rPr>
        <w:t xml:space="preserve"> </w:t>
      </w:r>
      <w:r w:rsidR="00724283" w:rsidRPr="00634F36">
        <w:rPr>
          <w:rFonts w:ascii="Bookman Old Style" w:hAnsi="Bookman Old Style"/>
          <w:b/>
          <w:bCs/>
          <w:u w:val="single"/>
        </w:rPr>
        <w:t>periodo superiore a trentasei mesi</w:t>
      </w:r>
      <w:r w:rsidR="00724283" w:rsidRPr="00634F36">
        <w:rPr>
          <w:rFonts w:ascii="Bookman Old Style" w:hAnsi="Bookman Old Style"/>
        </w:rPr>
        <w:t>, ma non eccendente la durata di attuazione dei progetti di competenza delle singole amministrazioni e comunque non oltre il 31 dicembre 2026;</w:t>
      </w:r>
    </w:p>
    <w:p w:rsidR="004841A2" w:rsidRPr="00634F36" w:rsidRDefault="006350C2" w:rsidP="008002A8">
      <w:pPr>
        <w:pStyle w:val="Paragrafoelenco"/>
        <w:numPr>
          <w:ilvl w:val="0"/>
          <w:numId w:val="4"/>
        </w:numPr>
        <w:spacing w:line="276" w:lineRule="auto"/>
        <w:jc w:val="both"/>
        <w:rPr>
          <w:rFonts w:ascii="Bookman Old Style" w:hAnsi="Bookman Old Style"/>
        </w:rPr>
      </w:pPr>
      <w:r w:rsidRPr="00634F36">
        <w:rPr>
          <w:rFonts w:ascii="Bookman Old Style" w:hAnsi="Bookman Old Style"/>
        </w:rPr>
        <w:t>i contratti indicano, a pena di nullità, il progetto del PNRR al quale è riferita la prestazione lavorativa e possono essere rinnovati o prorogati, anche per una durata diversa da quella iniziale, per non più di una volta.</w:t>
      </w:r>
      <w:r w:rsidR="00A81A97" w:rsidRPr="00634F36">
        <w:rPr>
          <w:rFonts w:ascii="Bookman Old Style" w:hAnsi="Bookman Old Style"/>
        </w:rPr>
        <w:t xml:space="preserve"> Il mancato conseguimento dei traguardi e degli obiettivi, intermedi e finali, previsti dal progetto costituisce giusta </w:t>
      </w:r>
      <w:r w:rsidR="00A81A97" w:rsidRPr="00634F36">
        <w:rPr>
          <w:rFonts w:ascii="Bookman Old Style" w:hAnsi="Bookman Old Style"/>
          <w:b/>
          <w:bCs/>
          <w:u w:val="single"/>
        </w:rPr>
        <w:t>causa di recesso dal contratto</w:t>
      </w:r>
      <w:r w:rsidR="00A81A97" w:rsidRPr="00634F36">
        <w:rPr>
          <w:rFonts w:ascii="Bookman Old Style" w:hAnsi="Bookman Old Style"/>
        </w:rPr>
        <w:t xml:space="preserve"> ai sensi dell’articolo 2119 del codice civile</w:t>
      </w:r>
      <w:r w:rsidR="00E03682" w:rsidRPr="00634F36">
        <w:rPr>
          <w:rFonts w:ascii="Bookman Old Style" w:hAnsi="Bookman Old Style"/>
        </w:rPr>
        <w:t>.</w:t>
      </w:r>
    </w:p>
    <w:p w:rsidR="002D5587" w:rsidRPr="00634F36" w:rsidRDefault="00583AB9" w:rsidP="008002A8">
      <w:pPr>
        <w:spacing w:line="276" w:lineRule="auto"/>
        <w:jc w:val="both"/>
        <w:rPr>
          <w:rFonts w:ascii="Bookman Old Style" w:hAnsi="Bookman Old Style"/>
        </w:rPr>
      </w:pPr>
      <w:r w:rsidRPr="00634F36">
        <w:rPr>
          <w:rFonts w:ascii="Bookman Old Style" w:hAnsi="Bookman Old Style"/>
        </w:rPr>
        <w:t xml:space="preserve">Per quanto riguarda </w:t>
      </w:r>
      <w:r w:rsidRPr="00612771">
        <w:rPr>
          <w:rFonts w:ascii="Bookman Old Style" w:hAnsi="Bookman Old Style"/>
          <w:b/>
          <w:bCs/>
          <w:u w:val="single"/>
        </w:rPr>
        <w:t>le modalità di reclutamento</w:t>
      </w:r>
      <w:r w:rsidRPr="00634F36">
        <w:rPr>
          <w:rFonts w:ascii="Bookman Old Style" w:hAnsi="Bookman Old Style"/>
        </w:rPr>
        <w:t xml:space="preserve">, </w:t>
      </w:r>
      <w:r w:rsidR="00C27820" w:rsidRPr="00634F36">
        <w:rPr>
          <w:rFonts w:ascii="Bookman Old Style" w:hAnsi="Bookman Old Style"/>
        </w:rPr>
        <w:t>sono individuat</w:t>
      </w:r>
      <w:r w:rsidR="00A1206C" w:rsidRPr="00634F36">
        <w:rPr>
          <w:rFonts w:ascii="Bookman Old Style" w:hAnsi="Bookman Old Style"/>
        </w:rPr>
        <w:t>i</w:t>
      </w:r>
      <w:r w:rsidR="00C27820" w:rsidRPr="00634F36">
        <w:rPr>
          <w:rFonts w:ascii="Bookman Old Style" w:hAnsi="Bookman Old Style"/>
        </w:rPr>
        <w:t xml:space="preserve"> </w:t>
      </w:r>
      <w:r w:rsidR="00A1206C" w:rsidRPr="00634F36">
        <w:rPr>
          <w:rFonts w:ascii="Bookman Old Style" w:hAnsi="Bookman Old Style"/>
        </w:rPr>
        <w:t>diversi canali</w:t>
      </w:r>
      <w:r w:rsidR="00C27820" w:rsidRPr="00634F36">
        <w:rPr>
          <w:rFonts w:ascii="Bookman Old Style" w:hAnsi="Bookman Old Style"/>
        </w:rPr>
        <w:t xml:space="preserve"> di accesso. Infatti </w:t>
      </w:r>
      <w:r w:rsidR="008D1179" w:rsidRPr="00634F36">
        <w:rPr>
          <w:rFonts w:ascii="Bookman Old Style" w:hAnsi="Bookman Old Style"/>
        </w:rPr>
        <w:t>le</w:t>
      </w:r>
      <w:r w:rsidR="00C27820" w:rsidRPr="00634F36">
        <w:rPr>
          <w:rFonts w:ascii="Bookman Old Style" w:hAnsi="Bookman Old Style"/>
        </w:rPr>
        <w:t xml:space="preserve"> singole amministrazioni possono:</w:t>
      </w:r>
    </w:p>
    <w:p w:rsidR="00C27820" w:rsidRPr="00612771" w:rsidRDefault="006476EB" w:rsidP="008002A8">
      <w:pPr>
        <w:pStyle w:val="Paragrafoelenco"/>
        <w:numPr>
          <w:ilvl w:val="0"/>
          <w:numId w:val="5"/>
        </w:numPr>
        <w:spacing w:line="276" w:lineRule="auto"/>
        <w:jc w:val="both"/>
        <w:rPr>
          <w:rFonts w:ascii="Bookman Old Style" w:hAnsi="Bookman Old Style"/>
          <w:u w:val="single"/>
        </w:rPr>
      </w:pPr>
      <w:r w:rsidRPr="00634F36">
        <w:rPr>
          <w:rFonts w:ascii="Bookman Old Style" w:hAnsi="Bookman Old Style"/>
          <w:b/>
          <w:bCs/>
        </w:rPr>
        <w:t>svolgere autonomamente le procedure concorsuali</w:t>
      </w:r>
      <w:r w:rsidR="00B2479C" w:rsidRPr="00634F36">
        <w:rPr>
          <w:rFonts w:ascii="Bookman Old Style" w:hAnsi="Bookman Old Style"/>
        </w:rPr>
        <w:t xml:space="preserve">, </w:t>
      </w:r>
      <w:r w:rsidR="00B2479C" w:rsidRPr="00634F36">
        <w:rPr>
          <w:rFonts w:ascii="Bookman Old Style" w:hAnsi="Bookman Old Style"/>
          <w:u w:val="single"/>
        </w:rPr>
        <w:t>previa verifica di ammissibilità delle spese</w:t>
      </w:r>
      <w:r w:rsidR="00B2479C" w:rsidRPr="00634F36">
        <w:rPr>
          <w:rFonts w:ascii="Bookman Old Style" w:hAnsi="Bookman Old Style"/>
        </w:rPr>
        <w:t>,</w:t>
      </w:r>
      <w:r w:rsidRPr="00634F36">
        <w:rPr>
          <w:rFonts w:ascii="Bookman Old Style" w:hAnsi="Bookman Old Style"/>
        </w:rPr>
        <w:t xml:space="preserve"> relative al reclutamento di personale con contratto a tempo determinato per l’attuazione dei progetti del PNNR mediante le modalità digitali, decentrate e semplificate di cui all’articolo 10, comma 1, lettera c),</w:t>
      </w:r>
      <w:r w:rsidR="00D95CB3" w:rsidRPr="00634F36">
        <w:rPr>
          <w:rFonts w:ascii="Bookman Old Style" w:hAnsi="Bookman Old Style"/>
        </w:rPr>
        <w:t xml:space="preserve"> del DL n. 44/2021, </w:t>
      </w:r>
      <w:r w:rsidR="006156FC" w:rsidRPr="00634F36">
        <w:rPr>
          <w:rFonts w:ascii="Bookman Old Style" w:hAnsi="Bookman Old Style"/>
        </w:rPr>
        <w:t xml:space="preserve">prevedendo, oltre alla valutazione dei titoli, </w:t>
      </w:r>
      <w:r w:rsidR="005F5B2A" w:rsidRPr="00634F36">
        <w:rPr>
          <w:rFonts w:ascii="Bookman Old Style" w:hAnsi="Bookman Old Style"/>
        </w:rPr>
        <w:t>lo svolgimento del</w:t>
      </w:r>
      <w:r w:rsidR="006156FC" w:rsidRPr="00634F36">
        <w:rPr>
          <w:rFonts w:ascii="Bookman Old Style" w:hAnsi="Bookman Old Style"/>
        </w:rPr>
        <w:t>la sola prova scritta</w:t>
      </w:r>
      <w:r w:rsidR="00EF5F44" w:rsidRPr="00634F36">
        <w:rPr>
          <w:rFonts w:ascii="Bookman Old Style" w:hAnsi="Bookman Old Style"/>
        </w:rPr>
        <w:t xml:space="preserve"> (</w:t>
      </w:r>
      <w:r w:rsidR="00EF5F44" w:rsidRPr="00634F36">
        <w:rPr>
          <w:rFonts w:ascii="Bookman Old Style" w:hAnsi="Bookman Old Style"/>
          <w:u w:val="single"/>
        </w:rPr>
        <w:t>comma 4</w:t>
      </w:r>
      <w:r w:rsidR="00EF5F44" w:rsidRPr="00634F36">
        <w:rPr>
          <w:rFonts w:ascii="Bookman Old Style" w:hAnsi="Bookman Old Style"/>
        </w:rPr>
        <w:t>)</w:t>
      </w:r>
      <w:r w:rsidR="00F311BF" w:rsidRPr="00634F36">
        <w:rPr>
          <w:rFonts w:ascii="Bookman Old Style" w:hAnsi="Bookman Old Style"/>
        </w:rPr>
        <w:t xml:space="preserve">. </w:t>
      </w:r>
      <w:r w:rsidR="001A241E" w:rsidRPr="00634F36">
        <w:rPr>
          <w:rFonts w:ascii="Bookman Old Style" w:hAnsi="Bookman Old Style"/>
        </w:rPr>
        <w:t>La norma specifica che a parità di punteggio è preferito il candidato più giovane di età</w:t>
      </w:r>
      <w:r w:rsidR="00CF47F8">
        <w:rPr>
          <w:rFonts w:ascii="Bookman Old Style" w:hAnsi="Bookman Old Style"/>
        </w:rPr>
        <w:t xml:space="preserve">. </w:t>
      </w:r>
      <w:r w:rsidR="00DC7750">
        <w:rPr>
          <w:rFonts w:ascii="Bookman Old Style" w:hAnsi="Bookman Old Style"/>
        </w:rPr>
        <w:t xml:space="preserve">In sede di conversione del decreto </w:t>
      </w:r>
      <w:r w:rsidR="00DC7750" w:rsidRPr="00612771">
        <w:rPr>
          <w:rFonts w:ascii="Bookman Old Style" w:hAnsi="Bookman Old Style"/>
          <w:u w:val="single"/>
        </w:rPr>
        <w:t>questa modalità di reclutamento a tempo determinato è stata espressamente estesa a tutte le PPAA, a prescindere dal</w:t>
      </w:r>
      <w:r w:rsidR="003D4461" w:rsidRPr="00612771">
        <w:rPr>
          <w:rFonts w:ascii="Bookman Old Style" w:hAnsi="Bookman Old Style"/>
          <w:u w:val="single"/>
        </w:rPr>
        <w:t xml:space="preserve"> fatto che le stesse siano connesse all’attuazione del PNRR</w:t>
      </w:r>
      <w:r w:rsidR="006156FC" w:rsidRPr="00612771">
        <w:rPr>
          <w:rFonts w:ascii="Bookman Old Style" w:hAnsi="Bookman Old Style"/>
          <w:u w:val="single"/>
        </w:rPr>
        <w:t>;</w:t>
      </w:r>
    </w:p>
    <w:p w:rsidR="006156FC" w:rsidRPr="00634F36" w:rsidRDefault="009A2597" w:rsidP="008002A8">
      <w:pPr>
        <w:pStyle w:val="Paragrafoelenco"/>
        <w:numPr>
          <w:ilvl w:val="0"/>
          <w:numId w:val="5"/>
        </w:numPr>
        <w:spacing w:line="276" w:lineRule="auto"/>
        <w:jc w:val="both"/>
        <w:rPr>
          <w:rFonts w:ascii="Bookman Old Style" w:hAnsi="Bookman Old Style"/>
        </w:rPr>
      </w:pPr>
      <w:r w:rsidRPr="00634F36">
        <w:rPr>
          <w:rFonts w:ascii="Bookman Old Style" w:hAnsi="Bookman Old Style"/>
          <w:b/>
          <w:bCs/>
        </w:rPr>
        <w:t xml:space="preserve">attingere dagli elenchi </w:t>
      </w:r>
      <w:r w:rsidR="009F137B" w:rsidRPr="00634F36">
        <w:rPr>
          <w:rFonts w:ascii="Bookman Old Style" w:hAnsi="Bookman Old Style"/>
          <w:b/>
          <w:bCs/>
        </w:rPr>
        <w:t>inseriti nel Portale del reclutamento</w:t>
      </w:r>
      <w:r w:rsidR="009F137B" w:rsidRPr="00634F36">
        <w:rPr>
          <w:rFonts w:ascii="Bookman Old Style" w:hAnsi="Bookman Old Style"/>
        </w:rPr>
        <w:t xml:space="preserve"> e </w:t>
      </w:r>
      <w:r w:rsidRPr="00634F36">
        <w:rPr>
          <w:rFonts w:ascii="Bookman Old Style" w:hAnsi="Bookman Old Style"/>
        </w:rPr>
        <w:t>istituiti dal Dipartimento della funzione pubblica ai sensi de</w:t>
      </w:r>
      <w:r w:rsidR="00397731" w:rsidRPr="00634F36">
        <w:rPr>
          <w:rFonts w:ascii="Bookman Old Style" w:hAnsi="Bookman Old Style"/>
        </w:rPr>
        <w:t>i</w:t>
      </w:r>
      <w:r w:rsidRPr="00634F36">
        <w:rPr>
          <w:rFonts w:ascii="Bookman Old Style" w:hAnsi="Bookman Old Style"/>
        </w:rPr>
        <w:t xml:space="preserve"> comm</w:t>
      </w:r>
      <w:r w:rsidR="00397731" w:rsidRPr="00634F36">
        <w:rPr>
          <w:rFonts w:ascii="Bookman Old Style" w:hAnsi="Bookman Old Style"/>
        </w:rPr>
        <w:t>i da</w:t>
      </w:r>
      <w:r w:rsidRPr="00634F36">
        <w:rPr>
          <w:rFonts w:ascii="Bookman Old Style" w:hAnsi="Bookman Old Style"/>
        </w:rPr>
        <w:t xml:space="preserve"> 5</w:t>
      </w:r>
      <w:r w:rsidR="00397731" w:rsidRPr="00634F36">
        <w:rPr>
          <w:rFonts w:ascii="Bookman Old Style" w:hAnsi="Bookman Old Style"/>
        </w:rPr>
        <w:t xml:space="preserve"> a 9</w:t>
      </w:r>
      <w:r w:rsidRPr="00634F36">
        <w:rPr>
          <w:rFonts w:ascii="Bookman Old Style" w:hAnsi="Bookman Old Style"/>
        </w:rPr>
        <w:t xml:space="preserve"> (</w:t>
      </w:r>
      <w:r w:rsidR="00EF5F44" w:rsidRPr="00634F36">
        <w:rPr>
          <w:rFonts w:ascii="Bookman Old Style" w:hAnsi="Bookman Old Style"/>
        </w:rPr>
        <w:t>di seguito descritti);</w:t>
      </w:r>
    </w:p>
    <w:p w:rsidR="00DC2CC9" w:rsidRPr="00634F36" w:rsidRDefault="009B60BE" w:rsidP="008002A8">
      <w:pPr>
        <w:pStyle w:val="Paragrafoelenco"/>
        <w:numPr>
          <w:ilvl w:val="0"/>
          <w:numId w:val="5"/>
        </w:numPr>
        <w:spacing w:line="276" w:lineRule="auto"/>
        <w:jc w:val="both"/>
        <w:rPr>
          <w:rFonts w:ascii="Bookman Old Style" w:hAnsi="Bookman Old Style"/>
        </w:rPr>
      </w:pPr>
      <w:r w:rsidRPr="00634F36">
        <w:rPr>
          <w:rFonts w:ascii="Bookman Old Style" w:hAnsi="Bookman Old Style"/>
          <w:b/>
          <w:bCs/>
        </w:rPr>
        <w:t>utilizzare graduatorie concorsuali vigenti</w:t>
      </w:r>
      <w:r w:rsidRPr="00634F36">
        <w:rPr>
          <w:rFonts w:ascii="Bookman Old Style" w:hAnsi="Bookman Old Style"/>
        </w:rPr>
        <w:t xml:space="preserve"> anche di concorsi a tempo determinato (comma 1</w:t>
      </w:r>
      <w:r w:rsidR="008D0427" w:rsidRPr="00634F36">
        <w:rPr>
          <w:rFonts w:ascii="Bookman Old Style" w:hAnsi="Bookman Old Style"/>
        </w:rPr>
        <w:t>4</w:t>
      </w:r>
      <w:r w:rsidRPr="00634F36">
        <w:rPr>
          <w:rFonts w:ascii="Bookman Old Style" w:hAnsi="Bookman Old Style"/>
        </w:rPr>
        <w:t>).</w:t>
      </w:r>
      <w:r w:rsidR="00DC2CC9" w:rsidRPr="00634F36">
        <w:rPr>
          <w:rFonts w:ascii="Bookman Old Style" w:hAnsi="Bookman Old Style"/>
          <w:b/>
          <w:bCs/>
        </w:rPr>
        <w:t xml:space="preserve"> </w:t>
      </w:r>
    </w:p>
    <w:p w:rsidR="00EF5F44" w:rsidRPr="00634F36" w:rsidRDefault="00DC2CC9" w:rsidP="008002A8">
      <w:pPr>
        <w:pStyle w:val="Paragrafoelenco"/>
        <w:numPr>
          <w:ilvl w:val="0"/>
          <w:numId w:val="5"/>
        </w:numPr>
        <w:spacing w:line="276" w:lineRule="auto"/>
        <w:jc w:val="both"/>
        <w:rPr>
          <w:rFonts w:ascii="Bookman Old Style" w:hAnsi="Bookman Old Style"/>
        </w:rPr>
      </w:pPr>
      <w:r w:rsidRPr="00634F36">
        <w:rPr>
          <w:rFonts w:ascii="Bookman Old Style" w:hAnsi="Bookman Old Style"/>
          <w:b/>
          <w:bCs/>
        </w:rPr>
        <w:t>ricorrere ai concorsi unici centralizzati</w:t>
      </w:r>
      <w:r w:rsidRPr="00634F36">
        <w:rPr>
          <w:rFonts w:ascii="Bookman Old Style" w:hAnsi="Bookman Old Style"/>
        </w:rPr>
        <w:t xml:space="preserve"> organizzati dal Dipartimento della funzione pubblica ai sensi del comma 3-quinquies dell’articolo 4 del DL n. 101/2013 (comma 10);</w:t>
      </w:r>
    </w:p>
    <w:p w:rsidR="00594B5C" w:rsidRPr="00634F36" w:rsidRDefault="00B114BC" w:rsidP="008002A8">
      <w:pPr>
        <w:spacing w:line="276" w:lineRule="auto"/>
        <w:jc w:val="both"/>
        <w:rPr>
          <w:rFonts w:ascii="Bookman Old Style" w:hAnsi="Bookman Old Style"/>
          <w:u w:val="single"/>
        </w:rPr>
      </w:pPr>
      <w:r w:rsidRPr="00634F36">
        <w:rPr>
          <w:rFonts w:ascii="Bookman Old Style" w:hAnsi="Bookman Old Style"/>
        </w:rPr>
        <w:t xml:space="preserve">Con riferimento al punto 3, il comma 14, dopo aver chiarito che </w:t>
      </w:r>
      <w:r w:rsidR="00BE1689" w:rsidRPr="00634F36">
        <w:rPr>
          <w:rFonts w:ascii="Bookman Old Style" w:hAnsi="Bookman Old Style"/>
        </w:rPr>
        <w:t xml:space="preserve">le assunzioni a tempo determinato possono essere effettuate mediante scorrimento di graduatorie vigenti, </w:t>
      </w:r>
      <w:r w:rsidR="009D288C" w:rsidRPr="00634F36">
        <w:rPr>
          <w:rFonts w:ascii="Bookman Old Style" w:hAnsi="Bookman Old Style"/>
        </w:rPr>
        <w:t xml:space="preserve">anche di concorsi a tempo determinato, specifica che </w:t>
      </w:r>
      <w:r w:rsidR="00320183" w:rsidRPr="00634F36">
        <w:rPr>
          <w:rFonts w:ascii="Bookman Old Style" w:hAnsi="Bookman Old Style"/>
        </w:rPr>
        <w:t>“</w:t>
      </w:r>
      <w:r w:rsidR="005E1388" w:rsidRPr="00634F36">
        <w:rPr>
          <w:rFonts w:ascii="Bookman Old Style" w:hAnsi="Bookman Old Style"/>
          <w:i/>
          <w:iCs/>
        </w:rPr>
        <w:t>non si applicano gli articoli 34, comma 6, e 34 -bis del decreto legislativo 30 marzo 2001, n. 165</w:t>
      </w:r>
      <w:r w:rsidR="005E1388" w:rsidRPr="00634F36">
        <w:rPr>
          <w:rFonts w:ascii="Bookman Old Style" w:hAnsi="Bookman Old Style"/>
        </w:rPr>
        <w:t>”.</w:t>
      </w:r>
      <w:r w:rsidR="00AB2B38" w:rsidRPr="00634F36">
        <w:rPr>
          <w:rFonts w:ascii="Bookman Old Style" w:hAnsi="Bookman Old Style"/>
        </w:rPr>
        <w:t xml:space="preserve"> Si tratta di un’importante </w:t>
      </w:r>
      <w:r w:rsidR="008D0427" w:rsidRPr="00634F36">
        <w:rPr>
          <w:rFonts w:ascii="Bookman Old Style" w:hAnsi="Bookman Old Style"/>
        </w:rPr>
        <w:t>misura acceleratoria ai fini del reclutamento, che</w:t>
      </w:r>
      <w:r w:rsidR="00AB2B38" w:rsidRPr="00634F36">
        <w:rPr>
          <w:rFonts w:ascii="Bookman Old Style" w:hAnsi="Bookman Old Style"/>
        </w:rPr>
        <w:t>, escludendo la</w:t>
      </w:r>
      <w:r w:rsidR="00594B5C" w:rsidRPr="00634F36">
        <w:rPr>
          <w:rFonts w:ascii="Bookman Old Style" w:hAnsi="Bookman Old Style"/>
        </w:rPr>
        <w:t xml:space="preserve"> </w:t>
      </w:r>
      <w:r w:rsidR="00594B5C" w:rsidRPr="00634F36">
        <w:rPr>
          <w:rFonts w:ascii="Bookman Old Style" w:hAnsi="Bookman Old Style"/>
          <w:b/>
          <w:bCs/>
        </w:rPr>
        <w:t xml:space="preserve">procedura propedeutica della c.d. mobilità </w:t>
      </w:r>
      <w:r w:rsidR="00594B5C" w:rsidRPr="00634F36">
        <w:rPr>
          <w:rFonts w:ascii="Bookman Old Style" w:hAnsi="Bookman Old Style"/>
          <w:b/>
          <w:bCs/>
          <w:i/>
          <w:iCs/>
        </w:rPr>
        <w:t>obbligatoria</w:t>
      </w:r>
      <w:r w:rsidR="00594B5C" w:rsidRPr="00634F36">
        <w:rPr>
          <w:rFonts w:ascii="Bookman Old Style" w:hAnsi="Bookman Old Style"/>
        </w:rPr>
        <w:t xml:space="preserve">, finalizzata alla ricollocazione del personale eccedentario della PA, </w:t>
      </w:r>
      <w:r w:rsidR="001738F2" w:rsidRPr="00634F36">
        <w:rPr>
          <w:rFonts w:ascii="Bookman Old Style" w:hAnsi="Bookman Old Style"/>
        </w:rPr>
        <w:t xml:space="preserve">consente la riduzione </w:t>
      </w:r>
      <w:r w:rsidR="00612771">
        <w:rPr>
          <w:rFonts w:ascii="Bookman Old Style" w:hAnsi="Bookman Old Style"/>
        </w:rPr>
        <w:t>d</w:t>
      </w:r>
      <w:r w:rsidR="001738F2" w:rsidRPr="00634F36">
        <w:rPr>
          <w:rFonts w:ascii="Bookman Old Style" w:hAnsi="Bookman Old Style"/>
        </w:rPr>
        <w:t>ei tempi procedimentali</w:t>
      </w:r>
      <w:r w:rsidR="00594B5C" w:rsidRPr="00634F36">
        <w:rPr>
          <w:rFonts w:ascii="Bookman Old Style" w:hAnsi="Bookman Old Style"/>
        </w:rPr>
        <w:t>.</w:t>
      </w:r>
      <w:r w:rsidR="001649D6" w:rsidRPr="00634F36">
        <w:rPr>
          <w:rFonts w:ascii="Bookman Old Style" w:hAnsi="Bookman Old Style"/>
        </w:rPr>
        <w:t xml:space="preserve"> L</w:t>
      </w:r>
      <w:r w:rsidR="00A21A01" w:rsidRPr="00634F36">
        <w:rPr>
          <w:rFonts w:ascii="Bookman Old Style" w:hAnsi="Bookman Old Style"/>
        </w:rPr>
        <w:t xml:space="preserve">a circostanza che tale previsione sia inserita nel comma </w:t>
      </w:r>
      <w:r w:rsidR="00F47B27" w:rsidRPr="00634F36">
        <w:rPr>
          <w:rFonts w:ascii="Bookman Old Style" w:hAnsi="Bookman Old Style"/>
        </w:rPr>
        <w:t xml:space="preserve">14, </w:t>
      </w:r>
      <w:r w:rsidR="00A21A01" w:rsidRPr="00634F36">
        <w:rPr>
          <w:rFonts w:ascii="Bookman Old Style" w:hAnsi="Bookman Old Style"/>
        </w:rPr>
        <w:t>che individua come canale di reclutamento lo scorrimento di graduatorie</w:t>
      </w:r>
      <w:r w:rsidR="000A38FB" w:rsidRPr="00634F36">
        <w:rPr>
          <w:rFonts w:ascii="Bookman Old Style" w:hAnsi="Bookman Old Style"/>
        </w:rPr>
        <w:t xml:space="preserve"> esistenti</w:t>
      </w:r>
      <w:r w:rsidR="00F47B27" w:rsidRPr="00634F36">
        <w:rPr>
          <w:rFonts w:ascii="Bookman Old Style" w:hAnsi="Bookman Old Style"/>
        </w:rPr>
        <w:t>,</w:t>
      </w:r>
      <w:r w:rsidR="000A38FB" w:rsidRPr="00634F36">
        <w:rPr>
          <w:rFonts w:ascii="Bookman Old Style" w:hAnsi="Bookman Old Style"/>
        </w:rPr>
        <w:t xml:space="preserve"> fa sorgere il dubbio </w:t>
      </w:r>
      <w:r w:rsidR="00F47B27" w:rsidRPr="00634F36">
        <w:rPr>
          <w:rFonts w:ascii="Bookman Old Style" w:hAnsi="Bookman Old Style"/>
        </w:rPr>
        <w:t xml:space="preserve">che la </w:t>
      </w:r>
      <w:r w:rsidR="00433EDB" w:rsidRPr="00634F36">
        <w:rPr>
          <w:rFonts w:ascii="Bookman Old Style" w:hAnsi="Bookman Old Style"/>
        </w:rPr>
        <w:t xml:space="preserve">deroga </w:t>
      </w:r>
      <w:r w:rsidR="00F47B27" w:rsidRPr="00634F36">
        <w:rPr>
          <w:rFonts w:ascii="Bookman Old Style" w:hAnsi="Bookman Old Style"/>
        </w:rPr>
        <w:t xml:space="preserve">in </w:t>
      </w:r>
      <w:r w:rsidR="00F47B27" w:rsidRPr="00634F36">
        <w:rPr>
          <w:rFonts w:ascii="Bookman Old Style" w:hAnsi="Bookman Old Style"/>
        </w:rPr>
        <w:lastRenderedPageBreak/>
        <w:t>questione non</w:t>
      </w:r>
      <w:r w:rsidR="003A5B2F" w:rsidRPr="00634F36">
        <w:rPr>
          <w:rFonts w:ascii="Bookman Old Style" w:hAnsi="Bookman Old Style"/>
        </w:rPr>
        <w:t xml:space="preserve"> sia </w:t>
      </w:r>
      <w:r w:rsidR="003775A4" w:rsidRPr="00634F36">
        <w:rPr>
          <w:rFonts w:ascii="Bookman Old Style" w:hAnsi="Bookman Old Style"/>
        </w:rPr>
        <w:t>applicabile</w:t>
      </w:r>
      <w:r w:rsidR="003A5B2F" w:rsidRPr="00634F36">
        <w:rPr>
          <w:rFonts w:ascii="Bookman Old Style" w:hAnsi="Bookman Old Style"/>
        </w:rPr>
        <w:t xml:space="preserve"> a tutte le </w:t>
      </w:r>
      <w:r w:rsidR="00F47B27" w:rsidRPr="00634F36">
        <w:rPr>
          <w:rFonts w:ascii="Bookman Old Style" w:hAnsi="Bookman Old Style"/>
        </w:rPr>
        <w:t>altre modalità</w:t>
      </w:r>
      <w:r w:rsidR="003775A4" w:rsidRPr="00634F36">
        <w:rPr>
          <w:rFonts w:ascii="Bookman Old Style" w:hAnsi="Bookman Old Style"/>
        </w:rPr>
        <w:t xml:space="preserve"> di reclutamento </w:t>
      </w:r>
      <w:r w:rsidR="0046538C" w:rsidRPr="00634F36">
        <w:rPr>
          <w:rFonts w:ascii="Bookman Old Style" w:hAnsi="Bookman Old Style"/>
        </w:rPr>
        <w:t>su</w:t>
      </w:r>
      <w:r w:rsidR="003775A4" w:rsidRPr="00634F36">
        <w:rPr>
          <w:rFonts w:ascii="Bookman Old Style" w:hAnsi="Bookman Old Style"/>
        </w:rPr>
        <w:t xml:space="preserve"> elencate</w:t>
      </w:r>
      <w:r w:rsidR="0046538C" w:rsidRPr="00634F36">
        <w:rPr>
          <w:rFonts w:ascii="Bookman Old Style" w:hAnsi="Bookman Old Style"/>
        </w:rPr>
        <w:t xml:space="preserve">. </w:t>
      </w:r>
      <w:r w:rsidR="0046538C" w:rsidRPr="00634F36">
        <w:rPr>
          <w:rFonts w:ascii="Bookman Old Style" w:hAnsi="Bookman Old Style"/>
          <w:u w:val="single"/>
        </w:rPr>
        <w:t>L</w:t>
      </w:r>
      <w:r w:rsidR="00313EC6" w:rsidRPr="00634F36">
        <w:rPr>
          <w:rFonts w:ascii="Bookman Old Style" w:hAnsi="Bookman Old Style"/>
          <w:u w:val="single"/>
        </w:rPr>
        <w:t>a ratio della norma, oltre alla circostanza che il reclutamento riguarda profili qualificati da elevata specializzazione, port</w:t>
      </w:r>
      <w:r w:rsidR="00C32852" w:rsidRPr="00634F36">
        <w:rPr>
          <w:rFonts w:ascii="Bookman Old Style" w:hAnsi="Bookman Old Style"/>
          <w:u w:val="single"/>
        </w:rPr>
        <w:t>a a ritenere che la misura acceleratoria sia applicabile a tutte le modalità di reclutamento.</w:t>
      </w:r>
    </w:p>
    <w:p w:rsidR="00B92409" w:rsidRDefault="00594B5C" w:rsidP="008002A8">
      <w:pPr>
        <w:spacing w:line="276" w:lineRule="auto"/>
        <w:jc w:val="both"/>
        <w:rPr>
          <w:rFonts w:ascii="Bookman Old Style" w:hAnsi="Bookman Old Style"/>
        </w:rPr>
      </w:pPr>
      <w:r w:rsidRPr="00634F36">
        <w:rPr>
          <w:rFonts w:ascii="Bookman Old Style" w:hAnsi="Bookman Old Style"/>
          <w:b/>
          <w:bCs/>
        </w:rPr>
        <w:t>R</w:t>
      </w:r>
      <w:r w:rsidR="00610E78" w:rsidRPr="00634F36">
        <w:rPr>
          <w:rFonts w:ascii="Bookman Old Style" w:hAnsi="Bookman Old Style"/>
          <w:b/>
          <w:bCs/>
        </w:rPr>
        <w:t>esta</w:t>
      </w:r>
      <w:r w:rsidR="00AB6C54" w:rsidRPr="00634F36">
        <w:rPr>
          <w:rFonts w:ascii="Bookman Old Style" w:hAnsi="Bookman Old Style"/>
          <w:b/>
          <w:bCs/>
        </w:rPr>
        <w:t xml:space="preserve"> in ogni caso</w:t>
      </w:r>
      <w:r w:rsidR="00610E78" w:rsidRPr="00634F36">
        <w:rPr>
          <w:rFonts w:ascii="Bookman Old Style" w:hAnsi="Bookman Old Style"/>
          <w:b/>
          <w:bCs/>
        </w:rPr>
        <w:t xml:space="preserve"> ferma la possibilità di ricorrere alle procedure ordinarie di reclutamento</w:t>
      </w:r>
      <w:r w:rsidR="00610E78" w:rsidRPr="00634F36">
        <w:rPr>
          <w:rFonts w:ascii="Bookman Old Style" w:hAnsi="Bookman Old Style"/>
        </w:rPr>
        <w:t xml:space="preserve">, come </w:t>
      </w:r>
      <w:r w:rsidR="00BC044A" w:rsidRPr="00634F36">
        <w:rPr>
          <w:rFonts w:ascii="Bookman Old Style" w:hAnsi="Bookman Old Style"/>
        </w:rPr>
        <w:t xml:space="preserve">da ultimo </w:t>
      </w:r>
      <w:r w:rsidR="00610E78" w:rsidRPr="00634F36">
        <w:rPr>
          <w:rFonts w:ascii="Bookman Old Style" w:hAnsi="Bookman Old Style"/>
        </w:rPr>
        <w:t>ridefinite dal richiamato art. 10 del DL n. 44/2021</w:t>
      </w:r>
      <w:r w:rsidR="008B4DF8" w:rsidRPr="00634F36">
        <w:rPr>
          <w:rFonts w:ascii="Bookman Old Style" w:hAnsi="Bookman Old Style"/>
        </w:rPr>
        <w:t xml:space="preserve">: </w:t>
      </w:r>
      <w:r w:rsidR="00404DC5" w:rsidRPr="00634F36">
        <w:rPr>
          <w:rFonts w:ascii="Bookman Old Style" w:hAnsi="Bookman Old Style"/>
        </w:rPr>
        <w:t xml:space="preserve">ricorso alle modalità di reclutamento </w:t>
      </w:r>
      <w:r w:rsidR="008B4DF8" w:rsidRPr="00634F36">
        <w:rPr>
          <w:rFonts w:ascii="Bookman Old Style" w:hAnsi="Bookman Old Style"/>
        </w:rPr>
        <w:t>semplificate del</w:t>
      </w:r>
      <w:r w:rsidR="00F84241" w:rsidRPr="00634F36">
        <w:rPr>
          <w:rFonts w:ascii="Bookman Old Style" w:hAnsi="Bookman Old Style"/>
        </w:rPr>
        <w:t xml:space="preserve">lo schema di </w:t>
      </w:r>
      <w:r w:rsidR="00404DC5" w:rsidRPr="00634F36">
        <w:rPr>
          <w:rFonts w:ascii="Bookman Old Style" w:hAnsi="Bookman Old Style"/>
        </w:rPr>
        <w:t>decreto</w:t>
      </w:r>
      <w:r w:rsidR="00114011" w:rsidRPr="00634F36">
        <w:rPr>
          <w:rFonts w:ascii="Bookman Old Style" w:hAnsi="Bookman Old Style"/>
        </w:rPr>
        <w:t xml:space="preserve"> è definito</w:t>
      </w:r>
      <w:r w:rsidR="00404DC5" w:rsidRPr="00634F36">
        <w:rPr>
          <w:rFonts w:ascii="Bookman Old Style" w:hAnsi="Bookman Old Style"/>
        </w:rPr>
        <w:t xml:space="preserve"> come possibilità</w:t>
      </w:r>
      <w:r w:rsidR="00F84241" w:rsidRPr="00634F36">
        <w:rPr>
          <w:rFonts w:ascii="Bookman Old Style" w:hAnsi="Bookman Old Style"/>
        </w:rPr>
        <w:t xml:space="preserve"> e non</w:t>
      </w:r>
      <w:r w:rsidR="00404DC5" w:rsidRPr="00634F36">
        <w:rPr>
          <w:rFonts w:ascii="Bookman Old Style" w:hAnsi="Bookman Old Style"/>
        </w:rPr>
        <w:t xml:space="preserve"> obbligo</w:t>
      </w:r>
      <w:r w:rsidR="00B57A3C" w:rsidRPr="00634F36">
        <w:rPr>
          <w:rFonts w:ascii="Bookman Old Style" w:hAnsi="Bookman Old Style"/>
        </w:rPr>
        <w:t>. I</w:t>
      </w:r>
      <w:r w:rsidR="00343E96" w:rsidRPr="00634F36">
        <w:rPr>
          <w:rFonts w:ascii="Bookman Old Style" w:hAnsi="Bookman Old Style"/>
        </w:rPr>
        <w:t>n questo senso la formulazione del primo periodo del comma 2</w:t>
      </w:r>
      <w:r w:rsidR="00601A12" w:rsidRPr="00634F36">
        <w:rPr>
          <w:rFonts w:ascii="Bookman Old Style" w:hAnsi="Bookman Old Style"/>
        </w:rPr>
        <w:t xml:space="preserve">, secondo cui: </w:t>
      </w:r>
      <w:r w:rsidR="00B57A3C" w:rsidRPr="00634F36">
        <w:rPr>
          <w:rFonts w:ascii="Bookman Old Style" w:hAnsi="Bookman Old Style"/>
        </w:rPr>
        <w:t>“</w:t>
      </w:r>
      <w:r w:rsidR="00B57A3C" w:rsidRPr="00634F36">
        <w:rPr>
          <w:rFonts w:ascii="Bookman Old Style" w:hAnsi="Bookman Old Style"/>
          <w:i/>
          <w:iCs/>
        </w:rPr>
        <w:t>al fine di accelerare le procedure per il reclutamento del personale a tempo determinato da impiegare per l’attuazione del PNRR, le amministrazioni di cui al comma 1, possono ricorrere alle modalità di selezione stabilite dal presente articolo</w:t>
      </w:r>
      <w:r w:rsidR="00B57A3C" w:rsidRPr="00634F36">
        <w:rPr>
          <w:rFonts w:ascii="Bookman Old Style" w:hAnsi="Bookman Old Style"/>
        </w:rPr>
        <w:t>”</w:t>
      </w:r>
      <w:r w:rsidR="00404DC5" w:rsidRPr="00634F36">
        <w:rPr>
          <w:rFonts w:ascii="Bookman Old Style" w:hAnsi="Bookman Old Style"/>
        </w:rPr>
        <w:t>.</w:t>
      </w:r>
    </w:p>
    <w:p w:rsidR="00F9545D" w:rsidRPr="00634F36" w:rsidRDefault="00F9545D" w:rsidP="008002A8">
      <w:pPr>
        <w:spacing w:line="276" w:lineRule="auto"/>
        <w:jc w:val="both"/>
        <w:rPr>
          <w:rFonts w:ascii="Bookman Old Style" w:hAnsi="Bookman Old Style"/>
        </w:rPr>
      </w:pPr>
    </w:p>
    <w:p w:rsidR="00F9545D" w:rsidRPr="00634F36" w:rsidRDefault="00F9545D" w:rsidP="008002A8">
      <w:pPr>
        <w:pStyle w:val="Paragrafoelenco"/>
        <w:numPr>
          <w:ilvl w:val="0"/>
          <w:numId w:val="5"/>
        </w:numPr>
        <w:spacing w:line="276" w:lineRule="auto"/>
        <w:jc w:val="both"/>
        <w:rPr>
          <w:rFonts w:ascii="Bookman Old Style" w:hAnsi="Bookman Old Style"/>
          <w:b/>
          <w:bCs/>
        </w:rPr>
      </w:pPr>
      <w:r w:rsidRPr="00634F36">
        <w:rPr>
          <w:rFonts w:ascii="Bookman Old Style" w:hAnsi="Bookman Old Style"/>
          <w:b/>
          <w:bCs/>
        </w:rPr>
        <w:t>Il Portale del reclutamento (art. 1, commi da 5 a 9)</w:t>
      </w:r>
    </w:p>
    <w:p w:rsidR="005B0622" w:rsidRPr="00634F36" w:rsidRDefault="007C5E74" w:rsidP="008002A8">
      <w:pPr>
        <w:spacing w:line="276" w:lineRule="auto"/>
        <w:jc w:val="both"/>
        <w:rPr>
          <w:rFonts w:ascii="Bookman Old Style" w:hAnsi="Bookman Old Style"/>
        </w:rPr>
      </w:pPr>
      <w:r w:rsidRPr="00634F36">
        <w:rPr>
          <w:rFonts w:ascii="Bookman Old Style" w:hAnsi="Bookman Old Style"/>
        </w:rPr>
        <w:t xml:space="preserve">Per quanto riguarda il </w:t>
      </w:r>
      <w:r w:rsidRPr="00634F36">
        <w:rPr>
          <w:rFonts w:ascii="Bookman Old Style" w:hAnsi="Bookman Old Style"/>
          <w:b/>
          <w:bCs/>
          <w:u w:val="single"/>
        </w:rPr>
        <w:t>Portale del reclutamento</w:t>
      </w:r>
      <w:r w:rsidRPr="00634F36">
        <w:rPr>
          <w:rFonts w:ascii="Bookman Old Style" w:hAnsi="Bookman Old Style"/>
        </w:rPr>
        <w:t xml:space="preserve">, </w:t>
      </w:r>
      <w:r w:rsidR="003E5005" w:rsidRPr="00634F36">
        <w:rPr>
          <w:rFonts w:ascii="Bookman Old Style" w:hAnsi="Bookman Old Style"/>
        </w:rPr>
        <w:t>in base a quanto previsto dal</w:t>
      </w:r>
      <w:r w:rsidR="009F137B" w:rsidRPr="00634F36">
        <w:rPr>
          <w:rFonts w:ascii="Bookman Old Style" w:hAnsi="Bookman Old Style"/>
        </w:rPr>
        <w:t xml:space="preserve"> comma 5</w:t>
      </w:r>
      <w:r w:rsidR="00C30A17" w:rsidRPr="00634F36">
        <w:rPr>
          <w:rFonts w:ascii="Bookman Old Style" w:hAnsi="Bookman Old Style"/>
        </w:rPr>
        <w:t>,</w:t>
      </w:r>
      <w:r w:rsidR="009F137B" w:rsidRPr="00634F36">
        <w:rPr>
          <w:rFonts w:ascii="Bookman Old Style" w:hAnsi="Bookman Old Style"/>
        </w:rPr>
        <w:t xml:space="preserve"> </w:t>
      </w:r>
      <w:r w:rsidR="00F90368" w:rsidRPr="00634F36">
        <w:rPr>
          <w:rFonts w:ascii="Bookman Old Style" w:hAnsi="Bookman Old Style"/>
        </w:rPr>
        <w:t xml:space="preserve">il Dipartimento della </w:t>
      </w:r>
      <w:r w:rsidR="000D5891" w:rsidRPr="00634F36">
        <w:rPr>
          <w:rFonts w:ascii="Bookman Old Style" w:hAnsi="Bookman Old Style"/>
        </w:rPr>
        <w:t>funzione</w:t>
      </w:r>
      <w:r w:rsidR="00F90368" w:rsidRPr="00634F36">
        <w:rPr>
          <w:rFonts w:ascii="Bookman Old Style" w:hAnsi="Bookman Old Style"/>
        </w:rPr>
        <w:t xml:space="preserve"> pubblica istituisce due elenchi,</w:t>
      </w:r>
      <w:r w:rsidR="00CE1124" w:rsidRPr="00634F36">
        <w:rPr>
          <w:rFonts w:ascii="Bookman Old Style" w:hAnsi="Bookman Old Style"/>
        </w:rPr>
        <w:t xml:space="preserve"> </w:t>
      </w:r>
      <w:r w:rsidR="00444D1B" w:rsidRPr="00634F36">
        <w:rPr>
          <w:rFonts w:ascii="Bookman Old Style" w:hAnsi="Bookman Old Style"/>
        </w:rPr>
        <w:t xml:space="preserve">suddivisi in </w:t>
      </w:r>
      <w:r w:rsidR="00C7392B" w:rsidRPr="00634F36">
        <w:rPr>
          <w:rFonts w:ascii="Bookman Old Style" w:hAnsi="Bookman Old Style"/>
        </w:rPr>
        <w:t>sezioni corrispondenti</w:t>
      </w:r>
      <w:r w:rsidR="00CE1124" w:rsidRPr="00634F36">
        <w:rPr>
          <w:rFonts w:ascii="Bookman Old Style" w:hAnsi="Bookman Old Style"/>
        </w:rPr>
        <w:t xml:space="preserve"> alle diverse professioni e specializzazioni e agli eventuali ambiti territoriali, </w:t>
      </w:r>
      <w:r w:rsidR="00F90368" w:rsidRPr="00634F36">
        <w:rPr>
          <w:rFonts w:ascii="Bookman Old Style" w:hAnsi="Bookman Old Style"/>
        </w:rPr>
        <w:t>ai quali possono iscriversi:</w:t>
      </w:r>
    </w:p>
    <w:p w:rsidR="00270ACF" w:rsidRPr="00634F36" w:rsidRDefault="00270ACF" w:rsidP="008002A8">
      <w:pPr>
        <w:spacing w:line="276" w:lineRule="auto"/>
        <w:jc w:val="both"/>
        <w:rPr>
          <w:rFonts w:ascii="Bookman Old Style" w:hAnsi="Bookman Old Style"/>
        </w:rPr>
      </w:pPr>
      <w:r w:rsidRPr="00634F36">
        <w:rPr>
          <w:rFonts w:ascii="Bookman Old Style" w:hAnsi="Bookman Old Style"/>
        </w:rPr>
        <w:t xml:space="preserve">a) </w:t>
      </w:r>
      <w:r w:rsidRPr="00634F36">
        <w:rPr>
          <w:rFonts w:ascii="Bookman Old Style" w:hAnsi="Bookman Old Style"/>
          <w:b/>
          <w:bCs/>
          <w:u w:val="single"/>
        </w:rPr>
        <w:t>professionisti ed esperti per il conferimento incarichi di collaborazione con contratto di lavoro autonomo</w:t>
      </w:r>
      <w:r w:rsidRPr="00634F36">
        <w:rPr>
          <w:rFonts w:ascii="Bookman Old Style" w:hAnsi="Bookman Old Style"/>
        </w:rPr>
        <w:t xml:space="preserve"> di cui all’articolo 7, comma 6, del D.Lgs. n. 165/2001;</w:t>
      </w:r>
    </w:p>
    <w:p w:rsidR="00270ACF" w:rsidRPr="00634F36" w:rsidRDefault="00270ACF" w:rsidP="008002A8">
      <w:pPr>
        <w:spacing w:line="276" w:lineRule="auto"/>
        <w:jc w:val="both"/>
        <w:rPr>
          <w:rFonts w:ascii="Bookman Old Style" w:hAnsi="Bookman Old Style"/>
        </w:rPr>
      </w:pPr>
      <w:r w:rsidRPr="00634F36">
        <w:rPr>
          <w:rFonts w:ascii="Bookman Old Style" w:hAnsi="Bookman Old Style"/>
        </w:rPr>
        <w:t xml:space="preserve">b) </w:t>
      </w:r>
      <w:r w:rsidRPr="00634F36">
        <w:rPr>
          <w:rFonts w:ascii="Bookman Old Style" w:hAnsi="Bookman Old Style"/>
          <w:b/>
          <w:bCs/>
          <w:u w:val="single"/>
        </w:rPr>
        <w:t>personale in possesso di un’alta specializzazione per l’assunzione con contratto di lavoro subordinato a tempo determinato</w:t>
      </w:r>
      <w:r w:rsidRPr="00634F36">
        <w:rPr>
          <w:rFonts w:ascii="Bookman Old Style" w:hAnsi="Bookman Old Style"/>
        </w:rPr>
        <w:t xml:space="preserve">. </w:t>
      </w:r>
    </w:p>
    <w:p w:rsidR="00F90368" w:rsidRPr="00634F36" w:rsidRDefault="00855FBC" w:rsidP="008002A8">
      <w:pPr>
        <w:spacing w:line="276" w:lineRule="auto"/>
        <w:jc w:val="both"/>
        <w:rPr>
          <w:rFonts w:ascii="Bookman Old Style" w:hAnsi="Bookman Old Style"/>
        </w:rPr>
      </w:pPr>
      <w:r w:rsidRPr="00634F36">
        <w:rPr>
          <w:rFonts w:ascii="Bookman Old Style" w:hAnsi="Bookman Old Style"/>
        </w:rPr>
        <w:t xml:space="preserve">L’istituzione degli elenchi presuppone un decreto attuativo, </w:t>
      </w:r>
      <w:r w:rsidR="00CA42B7" w:rsidRPr="00634F36">
        <w:rPr>
          <w:rFonts w:ascii="Bookman Old Style" w:hAnsi="Bookman Old Style"/>
        </w:rPr>
        <w:t>previa intesa con la Conferenza unificata.</w:t>
      </w:r>
    </w:p>
    <w:p w:rsidR="00CA42B7" w:rsidRPr="00634F36" w:rsidRDefault="00CA42B7" w:rsidP="008002A8">
      <w:pPr>
        <w:spacing w:line="276" w:lineRule="auto"/>
        <w:jc w:val="both"/>
        <w:rPr>
          <w:rFonts w:ascii="Bookman Old Style" w:hAnsi="Bookman Old Style"/>
        </w:rPr>
      </w:pPr>
      <w:r w:rsidRPr="00634F36">
        <w:rPr>
          <w:rFonts w:ascii="Bookman Old Style" w:hAnsi="Bookman Old Style"/>
        </w:rPr>
        <w:t>Il decreto dovrà individuare requisiti aggiuntivi, ulteriori rispetto a quelli minimi individuati dal</w:t>
      </w:r>
      <w:r w:rsidR="000D5891" w:rsidRPr="00634F36">
        <w:rPr>
          <w:rFonts w:ascii="Bookman Old Style" w:hAnsi="Bookman Old Style"/>
        </w:rPr>
        <w:t>lo schema di</w:t>
      </w:r>
      <w:r w:rsidR="004167F5" w:rsidRPr="00634F36">
        <w:rPr>
          <w:rFonts w:ascii="Bookman Old Style" w:hAnsi="Bookman Old Style"/>
        </w:rPr>
        <w:t xml:space="preserve"> DL, che sono:</w:t>
      </w:r>
    </w:p>
    <w:p w:rsidR="004167F5" w:rsidRPr="00634F36" w:rsidRDefault="004A2107" w:rsidP="008002A8">
      <w:pPr>
        <w:spacing w:line="276" w:lineRule="auto"/>
        <w:jc w:val="both"/>
        <w:rPr>
          <w:rFonts w:ascii="Bookman Old Style" w:hAnsi="Bookman Old Style"/>
          <w:u w:val="single"/>
        </w:rPr>
      </w:pPr>
      <w:r w:rsidRPr="00634F36">
        <w:rPr>
          <w:rFonts w:ascii="Bookman Old Style" w:hAnsi="Bookman Old Style"/>
          <w:u w:val="single"/>
        </w:rPr>
        <w:t xml:space="preserve">1. </w:t>
      </w:r>
      <w:r w:rsidR="004167F5" w:rsidRPr="00634F36">
        <w:rPr>
          <w:rFonts w:ascii="Bookman Old Style" w:hAnsi="Bookman Old Style"/>
          <w:u w:val="single"/>
        </w:rPr>
        <w:t xml:space="preserve">per i professionisti: </w:t>
      </w:r>
    </w:p>
    <w:p w:rsidR="004A2107" w:rsidRPr="00634F36" w:rsidRDefault="004A2107" w:rsidP="008002A8">
      <w:pPr>
        <w:spacing w:line="276" w:lineRule="auto"/>
        <w:jc w:val="both"/>
        <w:rPr>
          <w:rFonts w:ascii="Bookman Old Style" w:hAnsi="Bookman Old Style"/>
        </w:rPr>
      </w:pPr>
      <w:r w:rsidRPr="00634F36">
        <w:rPr>
          <w:rFonts w:ascii="Bookman Old Style" w:hAnsi="Bookman Old Style"/>
        </w:rPr>
        <w:t xml:space="preserve">a) almeno cinque anni di permanenza nel relativo albo, collegio o ordine professionale; </w:t>
      </w:r>
    </w:p>
    <w:p w:rsidR="004A2107" w:rsidRPr="00634F36" w:rsidRDefault="004A2107" w:rsidP="008002A8">
      <w:pPr>
        <w:spacing w:line="276" w:lineRule="auto"/>
        <w:jc w:val="both"/>
        <w:rPr>
          <w:rFonts w:ascii="Bookman Old Style" w:hAnsi="Bookman Old Style"/>
        </w:rPr>
      </w:pPr>
      <w:r w:rsidRPr="00634F36">
        <w:rPr>
          <w:rFonts w:ascii="Bookman Old Style" w:hAnsi="Bookman Old Style"/>
        </w:rPr>
        <w:t xml:space="preserve">b) essere iscritto al rispettivo albo, collegio o ordine professionale; </w:t>
      </w:r>
    </w:p>
    <w:p w:rsidR="004A2107" w:rsidRPr="00634F36" w:rsidRDefault="004A2107" w:rsidP="008002A8">
      <w:pPr>
        <w:spacing w:line="276" w:lineRule="auto"/>
        <w:jc w:val="both"/>
        <w:rPr>
          <w:rFonts w:ascii="Bookman Old Style" w:hAnsi="Bookman Old Style"/>
        </w:rPr>
      </w:pPr>
      <w:r w:rsidRPr="00634F36">
        <w:rPr>
          <w:rFonts w:ascii="Bookman Old Style" w:hAnsi="Bookman Old Style"/>
        </w:rPr>
        <w:t>c) non essere in quiescenza.</w:t>
      </w:r>
    </w:p>
    <w:p w:rsidR="004A2107" w:rsidRPr="00634F36" w:rsidRDefault="00903C78" w:rsidP="008002A8">
      <w:pPr>
        <w:spacing w:line="276" w:lineRule="auto"/>
        <w:jc w:val="both"/>
        <w:rPr>
          <w:rFonts w:ascii="Bookman Old Style" w:hAnsi="Bookman Old Style"/>
          <w:u w:val="single"/>
        </w:rPr>
      </w:pPr>
      <w:r w:rsidRPr="00634F36">
        <w:rPr>
          <w:rFonts w:ascii="Bookman Old Style" w:hAnsi="Bookman Old Style"/>
          <w:u w:val="single"/>
        </w:rPr>
        <w:t xml:space="preserve">2. </w:t>
      </w:r>
      <w:r w:rsidR="004A2107" w:rsidRPr="00634F36">
        <w:rPr>
          <w:rFonts w:ascii="Bookman Old Style" w:hAnsi="Bookman Old Style"/>
          <w:u w:val="single"/>
        </w:rPr>
        <w:t>Per le alte specializzazioni:</w:t>
      </w:r>
    </w:p>
    <w:p w:rsidR="00096E2D" w:rsidRPr="00096E2D" w:rsidRDefault="00903C78" w:rsidP="00096E2D">
      <w:pPr>
        <w:spacing w:line="276" w:lineRule="auto"/>
        <w:jc w:val="both"/>
        <w:rPr>
          <w:rFonts w:ascii="Bookman Old Style" w:hAnsi="Bookman Old Style"/>
        </w:rPr>
      </w:pPr>
      <w:r w:rsidRPr="00634F36">
        <w:rPr>
          <w:rFonts w:ascii="Bookman Old Style" w:hAnsi="Bookman Old Style"/>
        </w:rPr>
        <w:t>a)  dottorato di ricerca</w:t>
      </w:r>
      <w:r w:rsidR="00CC5FAE">
        <w:rPr>
          <w:rFonts w:ascii="Bookman Old Style" w:hAnsi="Bookman Old Style"/>
        </w:rPr>
        <w:t xml:space="preserve"> </w:t>
      </w:r>
      <w:r w:rsidR="00096E2D" w:rsidRPr="00096E2D">
        <w:rPr>
          <w:rFonts w:ascii="Bookman Old Style" w:hAnsi="Bookman Old Style"/>
        </w:rPr>
        <w:t>o  master  universitario  di  secondo</w:t>
      </w:r>
      <w:r w:rsidR="00CC5FAE">
        <w:rPr>
          <w:rFonts w:ascii="Bookman Old Style" w:hAnsi="Bookman Old Style"/>
        </w:rPr>
        <w:t xml:space="preserve"> </w:t>
      </w:r>
      <w:r w:rsidR="00096E2D" w:rsidRPr="00096E2D">
        <w:rPr>
          <w:rFonts w:ascii="Bookman Old Style" w:hAnsi="Bookman Old Style"/>
        </w:rPr>
        <w:t xml:space="preserve">livello; </w:t>
      </w:r>
    </w:p>
    <w:p w:rsidR="004A2107" w:rsidRPr="00634F36" w:rsidRDefault="00096E2D" w:rsidP="00096E2D">
      <w:pPr>
        <w:spacing w:line="276" w:lineRule="auto"/>
        <w:jc w:val="both"/>
        <w:rPr>
          <w:rFonts w:ascii="Bookman Old Style" w:hAnsi="Bookman Old Style"/>
        </w:rPr>
      </w:pPr>
      <w:r w:rsidRPr="00096E2D">
        <w:rPr>
          <w:rFonts w:ascii="Bookman Old Style" w:hAnsi="Bookman Old Style"/>
        </w:rPr>
        <w:t>b)</w:t>
      </w:r>
      <w:r w:rsidR="00CC5FAE">
        <w:rPr>
          <w:rFonts w:ascii="Bookman Old Style" w:hAnsi="Bookman Old Style"/>
        </w:rPr>
        <w:t xml:space="preserve"> </w:t>
      </w:r>
      <w:r w:rsidRPr="00096E2D">
        <w:rPr>
          <w:rFonts w:ascii="Bookman Old Style" w:hAnsi="Bookman Old Style"/>
        </w:rPr>
        <w:t>documentata   esperienza   professionale   qualificata   e</w:t>
      </w:r>
      <w:r w:rsidR="00CC5FAE">
        <w:rPr>
          <w:rFonts w:ascii="Bookman Old Style" w:hAnsi="Bookman Old Style"/>
        </w:rPr>
        <w:t xml:space="preserve"> </w:t>
      </w:r>
      <w:r w:rsidRPr="00096E2D">
        <w:rPr>
          <w:rFonts w:ascii="Bookman Old Style" w:hAnsi="Bookman Old Style"/>
        </w:rPr>
        <w:t>continuativa,  di  durata  almeno  triennale,  maturata  presso  enti</w:t>
      </w:r>
      <w:r w:rsidR="00CC5FAE">
        <w:rPr>
          <w:rFonts w:ascii="Bookman Old Style" w:hAnsi="Bookman Old Style"/>
        </w:rPr>
        <w:t xml:space="preserve"> </w:t>
      </w:r>
      <w:r w:rsidRPr="00096E2D">
        <w:rPr>
          <w:rFonts w:ascii="Bookman Old Style" w:hAnsi="Bookman Old Style"/>
        </w:rPr>
        <w:t>pubblici  nazionali  ovvero   presso   organismi   internazionali   o</w:t>
      </w:r>
      <w:r w:rsidR="00CC5FAE">
        <w:rPr>
          <w:rFonts w:ascii="Bookman Old Style" w:hAnsi="Bookman Old Style"/>
        </w:rPr>
        <w:t xml:space="preserve"> </w:t>
      </w:r>
      <w:r w:rsidRPr="00096E2D">
        <w:rPr>
          <w:rFonts w:ascii="Bookman Old Style" w:hAnsi="Bookman Old Style"/>
        </w:rPr>
        <w:t>dell'Unione europea</w:t>
      </w:r>
      <w:r w:rsidR="00903C78" w:rsidRPr="00634F36">
        <w:rPr>
          <w:rFonts w:ascii="Bookman Old Style" w:hAnsi="Bookman Old Style"/>
        </w:rPr>
        <w:t>.</w:t>
      </w:r>
    </w:p>
    <w:p w:rsidR="00A12523" w:rsidRPr="00634F36" w:rsidRDefault="00903C78" w:rsidP="008002A8">
      <w:pPr>
        <w:spacing w:line="276" w:lineRule="auto"/>
        <w:jc w:val="both"/>
        <w:rPr>
          <w:rFonts w:ascii="Bookman Old Style" w:hAnsi="Bookman Old Style"/>
        </w:rPr>
      </w:pPr>
      <w:r w:rsidRPr="00634F36">
        <w:rPr>
          <w:rFonts w:ascii="Bookman Old Style" w:hAnsi="Bookman Old Style"/>
        </w:rPr>
        <w:t xml:space="preserve">Sotto il </w:t>
      </w:r>
      <w:r w:rsidRPr="00634F36">
        <w:rPr>
          <w:rFonts w:ascii="Bookman Old Style" w:hAnsi="Bookman Old Style"/>
          <w:b/>
          <w:bCs/>
        </w:rPr>
        <w:t>profilo procedurale</w:t>
      </w:r>
      <w:r w:rsidRPr="00634F36">
        <w:rPr>
          <w:rFonts w:ascii="Bookman Old Style" w:hAnsi="Bookman Old Style"/>
        </w:rPr>
        <w:t xml:space="preserve">, </w:t>
      </w:r>
      <w:r w:rsidR="009A6F31" w:rsidRPr="00634F36">
        <w:rPr>
          <w:rFonts w:ascii="Bookman Old Style" w:hAnsi="Bookman Old Style"/>
        </w:rPr>
        <w:t>è previsto che</w:t>
      </w:r>
      <w:r w:rsidR="00A12523" w:rsidRPr="00634F36">
        <w:rPr>
          <w:rFonts w:ascii="Bookman Old Style" w:hAnsi="Bookman Old Style"/>
        </w:rPr>
        <w:t>:</w:t>
      </w:r>
    </w:p>
    <w:p w:rsidR="00A12523" w:rsidRPr="00634F36" w:rsidRDefault="009A6F31" w:rsidP="008002A8">
      <w:pPr>
        <w:pStyle w:val="Paragrafoelenco"/>
        <w:numPr>
          <w:ilvl w:val="0"/>
          <w:numId w:val="6"/>
        </w:numPr>
        <w:spacing w:line="276" w:lineRule="auto"/>
        <w:jc w:val="both"/>
        <w:rPr>
          <w:rFonts w:ascii="Bookman Old Style" w:hAnsi="Bookman Old Style"/>
        </w:rPr>
      </w:pPr>
      <w:r w:rsidRPr="00634F36">
        <w:rPr>
          <w:rFonts w:ascii="Bookman Old Style" w:hAnsi="Bookman Old Style"/>
        </w:rPr>
        <w:t xml:space="preserve"> </w:t>
      </w:r>
      <w:r w:rsidR="00CE5D34" w:rsidRPr="00634F36">
        <w:rPr>
          <w:rFonts w:ascii="Bookman Old Style" w:hAnsi="Bookman Old Style"/>
          <w:b/>
          <w:bCs/>
        </w:rPr>
        <w:t>per il conferimento degli incarichi</w:t>
      </w:r>
      <w:r w:rsidRPr="00634F36">
        <w:rPr>
          <w:rFonts w:ascii="Bookman Old Style" w:hAnsi="Bookman Old Style"/>
          <w:b/>
          <w:bCs/>
        </w:rPr>
        <w:t xml:space="preserve"> </w:t>
      </w:r>
      <w:r w:rsidR="007446FE" w:rsidRPr="00634F36">
        <w:rPr>
          <w:rFonts w:ascii="Bookman Old Style" w:hAnsi="Bookman Old Style"/>
          <w:b/>
          <w:bCs/>
        </w:rPr>
        <w:t xml:space="preserve">di collaborazione </w:t>
      </w:r>
      <w:r w:rsidRPr="00634F36">
        <w:rPr>
          <w:rFonts w:ascii="Bookman Old Style" w:hAnsi="Bookman Old Style"/>
          <w:b/>
          <w:bCs/>
        </w:rPr>
        <w:t>professionale</w:t>
      </w:r>
      <w:r w:rsidRPr="00634F36">
        <w:rPr>
          <w:rFonts w:ascii="Bookman Old Style" w:hAnsi="Bookman Old Style"/>
        </w:rPr>
        <w:t xml:space="preserve">, </w:t>
      </w:r>
      <w:r w:rsidR="007446FE" w:rsidRPr="00634F36">
        <w:rPr>
          <w:rFonts w:ascii="Bookman Old Style" w:hAnsi="Bookman Old Style"/>
          <w:u w:val="single"/>
        </w:rPr>
        <w:t>le amministrazioni interessate</w:t>
      </w:r>
      <w:r w:rsidR="007446FE" w:rsidRPr="00634F36">
        <w:rPr>
          <w:rFonts w:ascii="Bookman Old Style" w:hAnsi="Bookman Old Style"/>
        </w:rPr>
        <w:t xml:space="preserve">, sulla base delle professionalità che necessitano acquisire, </w:t>
      </w:r>
      <w:r w:rsidR="007446FE" w:rsidRPr="00634F36">
        <w:rPr>
          <w:rFonts w:ascii="Bookman Old Style" w:hAnsi="Bookman Old Style"/>
          <w:u w:val="single"/>
        </w:rPr>
        <w:t>invitano, in ordine di graduatoria</w:t>
      </w:r>
      <w:r w:rsidR="007446FE" w:rsidRPr="00634F36">
        <w:rPr>
          <w:rFonts w:ascii="Bookman Old Style" w:hAnsi="Bookman Old Style"/>
        </w:rPr>
        <w:t xml:space="preserve">, almeno </w:t>
      </w:r>
      <w:r w:rsidR="007446FE" w:rsidRPr="00634F36">
        <w:rPr>
          <w:rFonts w:ascii="Bookman Old Style" w:hAnsi="Bookman Old Style"/>
          <w:u w:val="single"/>
        </w:rPr>
        <w:t xml:space="preserve">tre professionisti o esperti tra quelli iscritti nel relativo elenco </w:t>
      </w:r>
      <w:r w:rsidR="006B208D" w:rsidRPr="00634F36">
        <w:rPr>
          <w:rFonts w:ascii="Bookman Old Style" w:hAnsi="Bookman Old Style"/>
          <w:u w:val="single"/>
        </w:rPr>
        <w:t xml:space="preserve">(garantendo </w:t>
      </w:r>
      <w:r w:rsidR="00311811" w:rsidRPr="00634F36">
        <w:rPr>
          <w:rFonts w:ascii="Bookman Old Style" w:hAnsi="Bookman Old Style"/>
          <w:u w:val="single"/>
        </w:rPr>
        <w:t>l’applicazione del principi</w:t>
      </w:r>
      <w:r w:rsidR="001E2CFE" w:rsidRPr="00634F36">
        <w:rPr>
          <w:rFonts w:ascii="Bookman Old Style" w:hAnsi="Bookman Old Style"/>
          <w:u w:val="single"/>
        </w:rPr>
        <w:t>o di parità di genere</w:t>
      </w:r>
      <w:r w:rsidR="006B208D" w:rsidRPr="00634F36">
        <w:rPr>
          <w:rFonts w:ascii="Bookman Old Style" w:hAnsi="Bookman Old Style"/>
          <w:u w:val="single"/>
        </w:rPr>
        <w:t>)</w:t>
      </w:r>
      <w:r w:rsidR="00F10CAE" w:rsidRPr="00634F36">
        <w:rPr>
          <w:rFonts w:ascii="Bookman Old Style" w:hAnsi="Bookman Old Style"/>
          <w:u w:val="single"/>
        </w:rPr>
        <w:t xml:space="preserve"> </w:t>
      </w:r>
      <w:r w:rsidR="007446FE" w:rsidRPr="00634F36">
        <w:rPr>
          <w:rFonts w:ascii="Bookman Old Style" w:hAnsi="Bookman Old Style"/>
          <w:u w:val="single"/>
        </w:rPr>
        <w:t>e li sottopongono ad un colloquio selettivo</w:t>
      </w:r>
      <w:r w:rsidR="00DF33F7" w:rsidRPr="00634F36">
        <w:rPr>
          <w:rFonts w:ascii="Bookman Old Style" w:hAnsi="Bookman Old Style"/>
        </w:rPr>
        <w:t xml:space="preserve"> (comma 7)</w:t>
      </w:r>
      <w:r w:rsidR="00A12523" w:rsidRPr="00634F36">
        <w:rPr>
          <w:rFonts w:ascii="Bookman Old Style" w:hAnsi="Bookman Old Style"/>
        </w:rPr>
        <w:t>;</w:t>
      </w:r>
    </w:p>
    <w:p w:rsidR="00903C78" w:rsidRPr="00634F36" w:rsidRDefault="00DF17B7" w:rsidP="008002A8">
      <w:pPr>
        <w:pStyle w:val="Paragrafoelenco"/>
        <w:numPr>
          <w:ilvl w:val="0"/>
          <w:numId w:val="6"/>
        </w:numPr>
        <w:spacing w:line="276" w:lineRule="auto"/>
        <w:jc w:val="both"/>
        <w:rPr>
          <w:rFonts w:ascii="Bookman Old Style" w:hAnsi="Bookman Old Style"/>
        </w:rPr>
      </w:pPr>
      <w:r w:rsidRPr="00634F36">
        <w:rPr>
          <w:rFonts w:ascii="Bookman Old Style" w:hAnsi="Bookman Old Style"/>
          <w:b/>
          <w:bCs/>
        </w:rPr>
        <w:t>per</w:t>
      </w:r>
      <w:r w:rsidR="00DF33F7" w:rsidRPr="00634F36">
        <w:rPr>
          <w:rFonts w:ascii="Bookman Old Style" w:hAnsi="Bookman Old Style"/>
          <w:b/>
          <w:bCs/>
        </w:rPr>
        <w:t xml:space="preserve"> la stipula di contratti a tempo determinato con il personale in possesso di alta specializzazione</w:t>
      </w:r>
      <w:r w:rsidR="00DF33F7" w:rsidRPr="00634F36">
        <w:rPr>
          <w:rFonts w:ascii="Bookman Old Style" w:hAnsi="Bookman Old Style"/>
        </w:rPr>
        <w:t xml:space="preserve">, </w:t>
      </w:r>
      <w:r w:rsidR="008E3636" w:rsidRPr="00634F36">
        <w:rPr>
          <w:rFonts w:ascii="Bookman Old Style" w:hAnsi="Bookman Old Style"/>
        </w:rPr>
        <w:t xml:space="preserve">l’iscrizione negli elenchi di cui al comma 5, lettera b) avviene previo svolgimento di procedure idoneative ai sensi dell’articolo 10 del DL n. 44/2021, con previsione della sola prova scritta, alle quali consegue esclusivamente il diritto all’inserimento </w:t>
      </w:r>
      <w:r w:rsidR="002B3006" w:rsidRPr="00634F36">
        <w:rPr>
          <w:rFonts w:ascii="Bookman Old Style" w:hAnsi="Bookman Old Style"/>
        </w:rPr>
        <w:t>in elenco</w:t>
      </w:r>
      <w:r w:rsidR="008E3636" w:rsidRPr="00634F36">
        <w:rPr>
          <w:rFonts w:ascii="Bookman Old Style" w:hAnsi="Bookman Old Style"/>
        </w:rPr>
        <w:t xml:space="preserve"> in ordine di graduatoria, sulla base della quale </w:t>
      </w:r>
      <w:r w:rsidR="008E3636" w:rsidRPr="00634F36">
        <w:rPr>
          <w:rFonts w:ascii="Bookman Old Style" w:hAnsi="Bookman Old Style"/>
          <w:u w:val="single"/>
        </w:rPr>
        <w:t>le amministrazioni attingono ai fini della stipula dei contratti</w:t>
      </w:r>
      <w:r w:rsidR="00BE4010" w:rsidRPr="00634F36">
        <w:rPr>
          <w:rFonts w:ascii="Bookman Old Style" w:hAnsi="Bookman Old Style"/>
        </w:rPr>
        <w:t xml:space="preserve"> (comma 8)</w:t>
      </w:r>
      <w:r w:rsidR="008E3636" w:rsidRPr="00634F36">
        <w:rPr>
          <w:rFonts w:ascii="Bookman Old Style" w:hAnsi="Bookman Old Style"/>
        </w:rPr>
        <w:t>.</w:t>
      </w:r>
    </w:p>
    <w:p w:rsidR="00DE4CAB" w:rsidRDefault="00DE4CAB" w:rsidP="008002A8">
      <w:pPr>
        <w:spacing w:line="276" w:lineRule="auto"/>
        <w:jc w:val="both"/>
        <w:rPr>
          <w:rFonts w:ascii="Bookman Old Style" w:hAnsi="Bookman Old Style"/>
        </w:rPr>
      </w:pPr>
      <w:r w:rsidRPr="00634F36">
        <w:rPr>
          <w:rFonts w:ascii="Bookman Old Style" w:hAnsi="Bookman Old Style"/>
        </w:rPr>
        <w:t xml:space="preserve">Qualora un Ente locale intenda attingere dall’elenco b) per perfezionare un contratto a tempo determinato, occorre tenere conto </w:t>
      </w:r>
      <w:r w:rsidR="00E85E59" w:rsidRPr="00634F36">
        <w:rPr>
          <w:rFonts w:ascii="Bookman Old Style" w:hAnsi="Bookman Old Style"/>
        </w:rPr>
        <w:t>della previsione di cui al comma 1</w:t>
      </w:r>
      <w:r w:rsidR="00A40516" w:rsidRPr="00634F36">
        <w:rPr>
          <w:rFonts w:ascii="Bookman Old Style" w:hAnsi="Bookman Old Style"/>
        </w:rPr>
        <w:t>3</w:t>
      </w:r>
      <w:r w:rsidR="00E85E59" w:rsidRPr="00634F36">
        <w:rPr>
          <w:rFonts w:ascii="Bookman Old Style" w:hAnsi="Bookman Old Style"/>
        </w:rPr>
        <w:t>, secondo cui</w:t>
      </w:r>
      <w:r w:rsidR="00BA3DBD" w:rsidRPr="00634F36">
        <w:rPr>
          <w:rFonts w:ascii="Bookman Old Style" w:hAnsi="Bookman Old Style"/>
        </w:rPr>
        <w:t xml:space="preserve"> tale personale</w:t>
      </w:r>
      <w:r w:rsidR="00E85E59" w:rsidRPr="00634F36">
        <w:rPr>
          <w:rFonts w:ascii="Bookman Old Style" w:hAnsi="Bookman Old Style"/>
        </w:rPr>
        <w:t xml:space="preserve"> </w:t>
      </w:r>
      <w:r w:rsidR="00BA3DBD" w:rsidRPr="00634F36">
        <w:rPr>
          <w:rFonts w:ascii="Bookman Old Style" w:hAnsi="Bookman Old Style"/>
        </w:rPr>
        <w:t xml:space="preserve">è equiparato, per quanto attiene al trattamento economico fondamentale e accessorio e ogni altro istituto contrattuale, al profilo dell’Area III, posizione economica F3, del CCNL Funzioni centrali, sezione Ministeri. Di conseguenza, </w:t>
      </w:r>
      <w:r w:rsidR="00BA3DBD" w:rsidRPr="00634F36">
        <w:rPr>
          <w:rFonts w:ascii="Bookman Old Style" w:hAnsi="Bookman Old Style"/>
          <w:u w:val="single"/>
        </w:rPr>
        <w:t>in applicazione del</w:t>
      </w:r>
      <w:r w:rsidR="00EB7F49" w:rsidRPr="00634F36">
        <w:rPr>
          <w:rFonts w:ascii="Bookman Old Style" w:hAnsi="Bookman Old Style"/>
          <w:u w:val="single"/>
        </w:rPr>
        <w:t>le tabelle di corrispondenza tra i livelli economici di inquadramento, tale personale andrà inquadrato in cat. D, posizione economica D2</w:t>
      </w:r>
      <w:r w:rsidR="00EB7F49" w:rsidRPr="00634F36">
        <w:rPr>
          <w:rFonts w:ascii="Bookman Old Style" w:hAnsi="Bookman Old Style"/>
        </w:rPr>
        <w:t>.</w:t>
      </w:r>
    </w:p>
    <w:p w:rsidR="00DD1F25" w:rsidRPr="00634F36" w:rsidRDefault="00DD1F25" w:rsidP="00DD1F25">
      <w:pPr>
        <w:spacing w:line="276" w:lineRule="auto"/>
        <w:jc w:val="both"/>
        <w:rPr>
          <w:rFonts w:ascii="Bookman Old Style" w:hAnsi="Bookman Old Style"/>
        </w:rPr>
      </w:pPr>
      <w:r>
        <w:rPr>
          <w:rFonts w:ascii="Bookman Old Style" w:hAnsi="Bookman Old Style"/>
        </w:rPr>
        <w:t>Il comma 17-bis dell’art. 1, inserito in sede di conversione, specifica che: “</w:t>
      </w:r>
      <w:r w:rsidRPr="005E7555">
        <w:rPr>
          <w:rFonts w:ascii="Bookman Old Style" w:hAnsi="Bookman Old Style"/>
        </w:rPr>
        <w:t>I bandi delle procedure di reclutamento e di mobilità  del</w:t>
      </w:r>
      <w:r>
        <w:rPr>
          <w:rFonts w:ascii="Bookman Old Style" w:hAnsi="Bookman Old Style"/>
        </w:rPr>
        <w:t xml:space="preserve"> </w:t>
      </w:r>
      <w:r w:rsidRPr="005E7555">
        <w:rPr>
          <w:rFonts w:ascii="Bookman Old Style" w:hAnsi="Bookman Old Style"/>
        </w:rPr>
        <w:t>personale pubblico  sono  pubblicati  sul  portale  del  reclutamento</w:t>
      </w:r>
      <w:r>
        <w:rPr>
          <w:rFonts w:ascii="Bookman Old Style" w:hAnsi="Bookman Old Style"/>
        </w:rPr>
        <w:t xml:space="preserve"> </w:t>
      </w:r>
      <w:r w:rsidRPr="005E7555">
        <w:rPr>
          <w:rFonts w:ascii="Bookman Old Style" w:hAnsi="Bookman Old Style"/>
        </w:rPr>
        <w:t>secondo  lo  schema  predisposto  dal  Dipartimento  della   funzione</w:t>
      </w:r>
      <w:r>
        <w:rPr>
          <w:rFonts w:ascii="Bookman Old Style" w:hAnsi="Bookman Old Style"/>
        </w:rPr>
        <w:t xml:space="preserve"> </w:t>
      </w:r>
      <w:r w:rsidRPr="005E7555">
        <w:rPr>
          <w:rFonts w:ascii="Bookman Old Style" w:hAnsi="Bookman Old Style"/>
        </w:rPr>
        <w:t>pubblica. Il portale garantisce l'acquisizione  della  documentazione</w:t>
      </w:r>
      <w:r>
        <w:rPr>
          <w:rFonts w:ascii="Bookman Old Style" w:hAnsi="Bookman Old Style"/>
        </w:rPr>
        <w:t xml:space="preserve"> </w:t>
      </w:r>
      <w:r w:rsidRPr="005E7555">
        <w:rPr>
          <w:rFonts w:ascii="Bookman Old Style" w:hAnsi="Bookman Old Style"/>
        </w:rPr>
        <w:t>relativa a tali procedure da parte delle amministrazioni pubbliche in</w:t>
      </w:r>
      <w:r>
        <w:rPr>
          <w:rFonts w:ascii="Bookman Old Style" w:hAnsi="Bookman Old Style"/>
        </w:rPr>
        <w:t xml:space="preserve"> </w:t>
      </w:r>
      <w:r w:rsidRPr="005E7555">
        <w:rPr>
          <w:rFonts w:ascii="Bookman Old Style" w:hAnsi="Bookman Old Style"/>
        </w:rPr>
        <w:t>formato aperto e organizza la pubblicazione  in  modo  accessibile  e</w:t>
      </w:r>
      <w:r>
        <w:rPr>
          <w:rFonts w:ascii="Bookman Old Style" w:hAnsi="Bookman Old Style"/>
        </w:rPr>
        <w:t xml:space="preserve"> </w:t>
      </w:r>
      <w:r w:rsidRPr="005E7555">
        <w:rPr>
          <w:rFonts w:ascii="Bookman Old Style" w:hAnsi="Bookman Old Style"/>
        </w:rPr>
        <w:t>ricercabile  secondo  parametri  utili  ai  cittadini  che  intendono</w:t>
      </w:r>
      <w:r>
        <w:rPr>
          <w:rFonts w:ascii="Bookman Old Style" w:hAnsi="Bookman Old Style"/>
        </w:rPr>
        <w:t xml:space="preserve"> </w:t>
      </w:r>
      <w:r w:rsidRPr="005E7555">
        <w:rPr>
          <w:rFonts w:ascii="Bookman Old Style" w:hAnsi="Bookman Old Style"/>
        </w:rPr>
        <w:t>partecipare a tali procedure</w:t>
      </w:r>
      <w:r>
        <w:rPr>
          <w:rFonts w:ascii="Bookman Old Style" w:hAnsi="Bookman Old Style"/>
        </w:rPr>
        <w:t>”</w:t>
      </w:r>
      <w:r w:rsidRPr="005E7555">
        <w:rPr>
          <w:rFonts w:ascii="Bookman Old Style" w:hAnsi="Bookman Old Style"/>
        </w:rPr>
        <w:t>.</w:t>
      </w:r>
    </w:p>
    <w:p w:rsidR="00DD1F25" w:rsidRPr="00634F36" w:rsidRDefault="00DD1F25" w:rsidP="008002A8">
      <w:pPr>
        <w:spacing w:line="276" w:lineRule="auto"/>
        <w:jc w:val="both"/>
        <w:rPr>
          <w:rFonts w:ascii="Bookman Old Style" w:hAnsi="Bookman Old Style"/>
        </w:rPr>
      </w:pPr>
    </w:p>
    <w:p w:rsidR="00304847" w:rsidRPr="00634F36" w:rsidRDefault="00304847"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La valorizzazione dell’esperienza professionale</w:t>
      </w:r>
      <w:r w:rsidR="00341D5A" w:rsidRPr="00634F36">
        <w:rPr>
          <w:rFonts w:ascii="Bookman Old Style" w:hAnsi="Bookman Old Style"/>
          <w:b/>
          <w:bCs/>
        </w:rPr>
        <w:t xml:space="preserve"> ai fini delle assunzioni a tempo indeterminato</w:t>
      </w:r>
      <w:r w:rsidRPr="00634F36">
        <w:rPr>
          <w:rFonts w:ascii="Bookman Old Style" w:hAnsi="Bookman Old Style"/>
          <w:b/>
          <w:bCs/>
        </w:rPr>
        <w:t xml:space="preserve"> (art. 1, comma 3)</w:t>
      </w:r>
    </w:p>
    <w:p w:rsidR="003C0BDF" w:rsidRPr="00634F36" w:rsidRDefault="003C0BDF" w:rsidP="008002A8">
      <w:pPr>
        <w:spacing w:line="276" w:lineRule="auto"/>
        <w:jc w:val="both"/>
        <w:rPr>
          <w:rFonts w:ascii="Bookman Old Style" w:hAnsi="Bookman Old Style"/>
        </w:rPr>
      </w:pPr>
      <w:r w:rsidRPr="00634F36">
        <w:rPr>
          <w:rFonts w:ascii="Bookman Old Style" w:hAnsi="Bookman Old Style"/>
        </w:rPr>
        <w:t xml:space="preserve">Infine, ai sensi del comma 3, </w:t>
      </w:r>
      <w:r w:rsidR="00032C4D" w:rsidRPr="00634F36">
        <w:rPr>
          <w:rFonts w:ascii="Bookman Old Style" w:hAnsi="Bookman Old Style"/>
        </w:rPr>
        <w:t xml:space="preserve">l’esperienza professionale maturata nei rapporti di lavoro a tempo determinato </w:t>
      </w:r>
      <w:r w:rsidR="00C55A53" w:rsidRPr="00634F36">
        <w:rPr>
          <w:rFonts w:ascii="Bookman Old Style" w:hAnsi="Bookman Old Style"/>
        </w:rPr>
        <w:t xml:space="preserve">nell’ambito dei progetti </w:t>
      </w:r>
      <w:r w:rsidR="00BB1FA1" w:rsidRPr="00634F36">
        <w:rPr>
          <w:rFonts w:ascii="Bookman Old Style" w:hAnsi="Bookman Old Style"/>
        </w:rPr>
        <w:t xml:space="preserve">del PNRR, </w:t>
      </w:r>
      <w:r w:rsidR="00032C4D" w:rsidRPr="00634F36">
        <w:rPr>
          <w:rFonts w:ascii="Bookman Old Style" w:hAnsi="Bookman Old Style"/>
        </w:rPr>
        <w:t xml:space="preserve">può essere valorizzata </w:t>
      </w:r>
      <w:r w:rsidR="007B371E" w:rsidRPr="00634F36">
        <w:rPr>
          <w:rFonts w:ascii="Bookman Old Style" w:hAnsi="Bookman Old Style"/>
        </w:rPr>
        <w:t xml:space="preserve">prevedendo, nei bandi di concorso per il reclutamento di personale a tempo indeterminato, una riserva di posti non superiore al </w:t>
      </w:r>
      <w:r w:rsidR="00371F89" w:rsidRPr="00634F36">
        <w:rPr>
          <w:rFonts w:ascii="Bookman Old Style" w:hAnsi="Bookman Old Style"/>
        </w:rPr>
        <w:t>40%</w:t>
      </w:r>
      <w:r w:rsidR="007B371E" w:rsidRPr="00634F36">
        <w:rPr>
          <w:rFonts w:ascii="Bookman Old Style" w:hAnsi="Bookman Old Style"/>
        </w:rPr>
        <w:t>, destinata al predetto personale che, alla data di pubblicazione del bando, abbia svolto servizio per almeno trentasei mesi.</w:t>
      </w:r>
    </w:p>
    <w:p w:rsidR="00304847" w:rsidRPr="00634F36" w:rsidRDefault="00304847"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Gli incarichi dirigenziali a contratto (art. 1, comma 1</w:t>
      </w:r>
      <w:r w:rsidR="00CA37F8" w:rsidRPr="00634F36">
        <w:rPr>
          <w:rFonts w:ascii="Bookman Old Style" w:hAnsi="Bookman Old Style"/>
          <w:b/>
          <w:bCs/>
        </w:rPr>
        <w:t>5</w:t>
      </w:r>
      <w:r w:rsidRPr="00634F36">
        <w:rPr>
          <w:rFonts w:ascii="Bookman Old Style" w:hAnsi="Bookman Old Style"/>
          <w:b/>
          <w:bCs/>
        </w:rPr>
        <w:t>)</w:t>
      </w:r>
    </w:p>
    <w:p w:rsidR="009D79FF" w:rsidRPr="00634F36" w:rsidRDefault="002A19AF" w:rsidP="008002A8">
      <w:pPr>
        <w:spacing w:line="276" w:lineRule="auto"/>
        <w:jc w:val="both"/>
        <w:rPr>
          <w:rFonts w:ascii="Bookman Old Style" w:hAnsi="Bookman Old Style"/>
        </w:rPr>
      </w:pPr>
      <w:r w:rsidRPr="00634F36">
        <w:rPr>
          <w:rFonts w:ascii="Bookman Old Style" w:hAnsi="Bookman Old Style"/>
        </w:rPr>
        <w:t>Per quanto riguarda gli incarichi dirigenziali a contratto, il comma 1</w:t>
      </w:r>
      <w:r w:rsidR="00CA37F8" w:rsidRPr="00634F36">
        <w:rPr>
          <w:rFonts w:ascii="Bookman Old Style" w:hAnsi="Bookman Old Style"/>
        </w:rPr>
        <w:t>5</w:t>
      </w:r>
      <w:r w:rsidRPr="00634F36">
        <w:rPr>
          <w:rFonts w:ascii="Bookman Old Style" w:hAnsi="Bookman Old Style"/>
        </w:rPr>
        <w:t xml:space="preserve"> prevede </w:t>
      </w:r>
      <w:r w:rsidR="00D12C64" w:rsidRPr="00634F36">
        <w:rPr>
          <w:rFonts w:ascii="Bookman Old Style" w:hAnsi="Bookman Old Style"/>
        </w:rPr>
        <w:t>la possibilità di raddoppiare l</w:t>
      </w:r>
      <w:r w:rsidR="007042B6" w:rsidRPr="00634F36">
        <w:rPr>
          <w:rFonts w:ascii="Bookman Old Style" w:hAnsi="Bookman Old Style"/>
        </w:rPr>
        <w:t>e</w:t>
      </w:r>
      <w:r w:rsidR="00D12C64" w:rsidRPr="00634F36">
        <w:rPr>
          <w:rFonts w:ascii="Bookman Old Style" w:hAnsi="Bookman Old Style"/>
        </w:rPr>
        <w:t xml:space="preserve"> </w:t>
      </w:r>
      <w:r w:rsidR="00133EF7" w:rsidRPr="00634F36">
        <w:rPr>
          <w:rFonts w:ascii="Bookman Old Style" w:hAnsi="Bookman Old Style"/>
        </w:rPr>
        <w:t>percentuali</w:t>
      </w:r>
      <w:r w:rsidR="00D12C64" w:rsidRPr="00634F36">
        <w:rPr>
          <w:rFonts w:ascii="Bookman Old Style" w:hAnsi="Bookman Old Style"/>
        </w:rPr>
        <w:t xml:space="preserve"> previste dall’art. 19, commi 5-bis e 6, del D.Lgs. n. 165/2001</w:t>
      </w:r>
      <w:r w:rsidR="00133EF7" w:rsidRPr="00634F36">
        <w:rPr>
          <w:rFonts w:ascii="Bookman Old Style" w:hAnsi="Bookman Old Style"/>
        </w:rPr>
        <w:t xml:space="preserve">, relativa alle amministrazioni statali. </w:t>
      </w:r>
      <w:r w:rsidR="00D033A9" w:rsidRPr="00634F36">
        <w:rPr>
          <w:rFonts w:ascii="Bookman Old Style" w:hAnsi="Bookman Old Style"/>
          <w:b/>
          <w:bCs/>
          <w:u w:val="single"/>
        </w:rPr>
        <w:t>N</w:t>
      </w:r>
      <w:r w:rsidR="00133EF7" w:rsidRPr="00634F36">
        <w:rPr>
          <w:rFonts w:ascii="Bookman Old Style" w:hAnsi="Bookman Old Style"/>
          <w:b/>
          <w:bCs/>
          <w:u w:val="single"/>
        </w:rPr>
        <w:t xml:space="preserve">on è prevista analoga </w:t>
      </w:r>
      <w:r w:rsidR="00304847" w:rsidRPr="00634F36">
        <w:rPr>
          <w:rFonts w:ascii="Bookman Old Style" w:hAnsi="Bookman Old Style"/>
          <w:b/>
          <w:bCs/>
          <w:u w:val="single"/>
        </w:rPr>
        <w:t>estensione</w:t>
      </w:r>
      <w:r w:rsidR="00133EF7" w:rsidRPr="00634F36">
        <w:rPr>
          <w:rFonts w:ascii="Bookman Old Style" w:hAnsi="Bookman Old Style"/>
          <w:b/>
          <w:bCs/>
          <w:u w:val="single"/>
        </w:rPr>
        <w:t xml:space="preserve"> per gli </w:t>
      </w:r>
      <w:r w:rsidR="009D79FF" w:rsidRPr="00634F36">
        <w:rPr>
          <w:rFonts w:ascii="Bookman Old Style" w:hAnsi="Bookman Old Style"/>
          <w:b/>
          <w:bCs/>
          <w:u w:val="single"/>
        </w:rPr>
        <w:t>incarichi</w:t>
      </w:r>
      <w:r w:rsidR="00133EF7" w:rsidRPr="00634F36">
        <w:rPr>
          <w:rFonts w:ascii="Bookman Old Style" w:hAnsi="Bookman Old Style"/>
          <w:b/>
          <w:bCs/>
          <w:u w:val="single"/>
        </w:rPr>
        <w:t xml:space="preserve"> dirigenziali conferibili dagli Enti locali ai sensi dell’art. 110</w:t>
      </w:r>
      <w:r w:rsidR="009D79FF" w:rsidRPr="00634F36">
        <w:rPr>
          <w:rFonts w:ascii="Bookman Old Style" w:hAnsi="Bookman Old Style"/>
          <w:b/>
          <w:bCs/>
          <w:u w:val="single"/>
        </w:rPr>
        <w:t xml:space="preserve"> del D.Lgs. n. 267/2000</w:t>
      </w:r>
      <w:r w:rsidR="00D033A9" w:rsidRPr="00634F36">
        <w:rPr>
          <w:rFonts w:ascii="Bookman Old Style" w:hAnsi="Bookman Old Style"/>
          <w:b/>
          <w:bCs/>
          <w:u w:val="single"/>
        </w:rPr>
        <w:t xml:space="preserve">, </w:t>
      </w:r>
      <w:r w:rsidR="0010694F" w:rsidRPr="00634F36">
        <w:rPr>
          <w:rFonts w:ascii="Bookman Old Style" w:hAnsi="Bookman Old Style"/>
          <w:b/>
          <w:bCs/>
          <w:u w:val="single"/>
        </w:rPr>
        <w:t xml:space="preserve">l’ANCI ha </w:t>
      </w:r>
      <w:r w:rsidR="0001037F" w:rsidRPr="00634F36">
        <w:rPr>
          <w:rFonts w:ascii="Bookman Old Style" w:hAnsi="Bookman Old Style"/>
          <w:b/>
          <w:bCs/>
          <w:u w:val="single"/>
        </w:rPr>
        <w:t xml:space="preserve">quindi </w:t>
      </w:r>
      <w:r w:rsidR="0010694F" w:rsidRPr="00634F36">
        <w:rPr>
          <w:rFonts w:ascii="Bookman Old Style" w:hAnsi="Bookman Old Style"/>
          <w:b/>
          <w:bCs/>
          <w:u w:val="single"/>
        </w:rPr>
        <w:t xml:space="preserve">chiesto </w:t>
      </w:r>
      <w:r w:rsidR="0001037F" w:rsidRPr="00634F36">
        <w:rPr>
          <w:rFonts w:ascii="Bookman Old Style" w:hAnsi="Bookman Old Style"/>
          <w:b/>
          <w:bCs/>
          <w:u w:val="single"/>
        </w:rPr>
        <w:t>di</w:t>
      </w:r>
      <w:r w:rsidR="0010694F" w:rsidRPr="00634F36">
        <w:rPr>
          <w:rFonts w:ascii="Bookman Old Style" w:hAnsi="Bookman Old Style"/>
          <w:b/>
          <w:bCs/>
          <w:u w:val="single"/>
        </w:rPr>
        <w:t xml:space="preserve"> </w:t>
      </w:r>
      <w:r w:rsidR="0001037F" w:rsidRPr="00634F36">
        <w:rPr>
          <w:rFonts w:ascii="Bookman Old Style" w:hAnsi="Bookman Old Style"/>
          <w:b/>
          <w:bCs/>
          <w:u w:val="single"/>
        </w:rPr>
        <w:t>consentirne</w:t>
      </w:r>
      <w:r w:rsidR="00E470B8" w:rsidRPr="00634F36">
        <w:rPr>
          <w:rFonts w:ascii="Bookman Old Style" w:hAnsi="Bookman Old Style"/>
          <w:b/>
          <w:bCs/>
          <w:u w:val="single"/>
        </w:rPr>
        <w:t xml:space="preserve"> l’applicazione</w:t>
      </w:r>
      <w:r w:rsidR="00D033A9" w:rsidRPr="00634F36">
        <w:rPr>
          <w:rFonts w:ascii="Bookman Old Style" w:hAnsi="Bookman Old Style"/>
          <w:b/>
          <w:bCs/>
          <w:u w:val="single"/>
        </w:rPr>
        <w:t xml:space="preserve"> anche a Comuni e Città metropolitane</w:t>
      </w:r>
      <w:r w:rsidR="009D79FF" w:rsidRPr="00634F36">
        <w:rPr>
          <w:rFonts w:ascii="Bookman Old Style" w:hAnsi="Bookman Old Style"/>
          <w:b/>
          <w:bCs/>
          <w:u w:val="single"/>
        </w:rPr>
        <w:t>.</w:t>
      </w:r>
    </w:p>
    <w:p w:rsidR="00F97A71" w:rsidRPr="00634F36" w:rsidRDefault="00F97A71" w:rsidP="00F97A71">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Modifiche all’articolo 1 in sede di conversione: proroga delle misure sul superamento del precariato nella Pubblica amministrazione.</w:t>
      </w:r>
    </w:p>
    <w:p w:rsidR="00F97A71" w:rsidRPr="00634F36" w:rsidRDefault="00F97A71" w:rsidP="00F97A71">
      <w:pPr>
        <w:spacing w:line="276" w:lineRule="auto"/>
        <w:jc w:val="both"/>
        <w:rPr>
          <w:rFonts w:ascii="Bookman Old Style" w:hAnsi="Bookman Old Style"/>
        </w:rPr>
      </w:pPr>
      <w:r w:rsidRPr="00634F36">
        <w:rPr>
          <w:rFonts w:ascii="Bookman Old Style" w:hAnsi="Bookman Old Style"/>
        </w:rPr>
        <w:t>Il nuovo comma 3-bis dell’art. 1, introdotto in sede di conversione del Decreto, estende di un ulteriore anno, al 31 dicembre 2022, la possibilità di ricorrere alle procedure di stabilizzazione del personale introdotte dall’art. 20 del D. Lgs. n. 75/2017.</w:t>
      </w:r>
    </w:p>
    <w:p w:rsidR="00CF13B1" w:rsidRPr="00634F36" w:rsidRDefault="00CF13B1" w:rsidP="008002A8">
      <w:pPr>
        <w:spacing w:line="276" w:lineRule="auto"/>
        <w:jc w:val="both"/>
        <w:rPr>
          <w:rFonts w:ascii="Bookman Old Style" w:hAnsi="Bookman Old Style"/>
        </w:rPr>
      </w:pPr>
    </w:p>
    <w:p w:rsidR="00016434" w:rsidRPr="00634F36" w:rsidRDefault="000039F6"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Le misure per la valorizzazione del personale e il riconoscimento del merito (art. 3</w:t>
      </w:r>
      <w:r w:rsidR="00AF2812" w:rsidRPr="00634F36">
        <w:rPr>
          <w:rFonts w:ascii="Bookman Old Style" w:hAnsi="Bookman Old Style"/>
          <w:b/>
          <w:bCs/>
        </w:rPr>
        <w:t>, commi 1 e 2</w:t>
      </w:r>
      <w:r w:rsidRPr="00634F36">
        <w:rPr>
          <w:rFonts w:ascii="Bookman Old Style" w:hAnsi="Bookman Old Style"/>
          <w:b/>
          <w:bCs/>
        </w:rPr>
        <w:t>)</w:t>
      </w:r>
    </w:p>
    <w:p w:rsidR="000039F6" w:rsidRPr="00634F36" w:rsidRDefault="000039F6" w:rsidP="008002A8">
      <w:pPr>
        <w:spacing w:line="276" w:lineRule="auto"/>
        <w:jc w:val="both"/>
        <w:rPr>
          <w:rFonts w:ascii="Bookman Old Style" w:hAnsi="Bookman Old Style"/>
        </w:rPr>
      </w:pPr>
      <w:r w:rsidRPr="00634F36">
        <w:rPr>
          <w:rFonts w:ascii="Bookman Old Style" w:hAnsi="Bookman Old Style"/>
        </w:rPr>
        <w:t xml:space="preserve">L’art. 3 contiene alcune significative misure </w:t>
      </w:r>
      <w:r w:rsidR="00325B9D" w:rsidRPr="00634F36">
        <w:rPr>
          <w:rFonts w:ascii="Bookman Old Style" w:hAnsi="Bookman Old Style"/>
        </w:rPr>
        <w:t>destinate a rilevare sotto il profilo dell’inquadramento del personale e del trattamento economico.</w:t>
      </w:r>
    </w:p>
    <w:p w:rsidR="00325B9D" w:rsidRPr="00634F36" w:rsidRDefault="00325B9D" w:rsidP="008002A8">
      <w:pPr>
        <w:spacing w:line="276" w:lineRule="auto"/>
        <w:jc w:val="both"/>
        <w:rPr>
          <w:rFonts w:ascii="Bookman Old Style" w:hAnsi="Bookman Old Style"/>
        </w:rPr>
      </w:pPr>
      <w:r w:rsidRPr="00634F36">
        <w:rPr>
          <w:rFonts w:ascii="Bookman Old Style" w:hAnsi="Bookman Old Style"/>
        </w:rPr>
        <w:t>Attraverso l</w:t>
      </w:r>
      <w:r w:rsidR="00182526" w:rsidRPr="00634F36">
        <w:rPr>
          <w:rFonts w:ascii="Bookman Old Style" w:hAnsi="Bookman Old Style"/>
        </w:rPr>
        <w:t>a</w:t>
      </w:r>
      <w:r w:rsidRPr="00634F36">
        <w:rPr>
          <w:rFonts w:ascii="Bookman Old Style" w:hAnsi="Bookman Old Style"/>
        </w:rPr>
        <w:t xml:space="preserve"> riscrittu</w:t>
      </w:r>
      <w:r w:rsidR="0056352A" w:rsidRPr="00634F36">
        <w:rPr>
          <w:rFonts w:ascii="Bookman Old Style" w:hAnsi="Bookman Old Style"/>
        </w:rPr>
        <w:t xml:space="preserve">ra del comma 1-bis dell’art. 52 del D.Lg. n. 165/2001, si prevede </w:t>
      </w:r>
      <w:r w:rsidR="00DA2E12" w:rsidRPr="00634F36">
        <w:rPr>
          <w:rFonts w:ascii="Bookman Old Style" w:hAnsi="Bookman Old Style"/>
        </w:rPr>
        <w:t>l’istituzione, attraverso l</w:t>
      </w:r>
      <w:r w:rsidR="00182526" w:rsidRPr="00634F36">
        <w:rPr>
          <w:rFonts w:ascii="Bookman Old Style" w:hAnsi="Bookman Old Style"/>
        </w:rPr>
        <w:t>a</w:t>
      </w:r>
      <w:r w:rsidR="00DA2E12" w:rsidRPr="00634F36">
        <w:rPr>
          <w:rFonts w:ascii="Bookman Old Style" w:hAnsi="Bookman Old Style"/>
        </w:rPr>
        <w:t xml:space="preserve"> contrattazione collettiva nazionale, di un’</w:t>
      </w:r>
      <w:r w:rsidR="00DA2E12" w:rsidRPr="00634F36">
        <w:rPr>
          <w:rFonts w:ascii="Bookman Old Style" w:hAnsi="Bookman Old Style"/>
          <w:b/>
          <w:bCs/>
        </w:rPr>
        <w:t xml:space="preserve">area per l’inquadramento del personale di </w:t>
      </w:r>
      <w:r w:rsidR="007D3BB8" w:rsidRPr="00634F36">
        <w:rPr>
          <w:rFonts w:ascii="Bookman Old Style" w:hAnsi="Bookman Old Style"/>
          <w:b/>
          <w:bCs/>
        </w:rPr>
        <w:t>elevata quali</w:t>
      </w:r>
      <w:r w:rsidR="0058721C" w:rsidRPr="00634F36">
        <w:rPr>
          <w:rFonts w:ascii="Bookman Old Style" w:hAnsi="Bookman Old Style"/>
          <w:b/>
          <w:bCs/>
        </w:rPr>
        <w:t>ficazione</w:t>
      </w:r>
      <w:r w:rsidR="00DA2E12" w:rsidRPr="00634F36">
        <w:rPr>
          <w:rFonts w:ascii="Bookman Old Style" w:hAnsi="Bookman Old Style"/>
          <w:b/>
          <w:bCs/>
        </w:rPr>
        <w:t xml:space="preserve">. </w:t>
      </w:r>
      <w:r w:rsidR="00DA2E12" w:rsidRPr="00634F36">
        <w:rPr>
          <w:rFonts w:ascii="Bookman Old Style" w:hAnsi="Bookman Old Style"/>
        </w:rPr>
        <w:t xml:space="preserve">Tale </w:t>
      </w:r>
      <w:r w:rsidR="00EF41B2" w:rsidRPr="00634F36">
        <w:rPr>
          <w:rFonts w:ascii="Bookman Old Style" w:hAnsi="Bookman Old Style"/>
        </w:rPr>
        <w:t xml:space="preserve">previsione assume particolare rilievo </w:t>
      </w:r>
      <w:r w:rsidR="00DB1263" w:rsidRPr="00634F36">
        <w:rPr>
          <w:rFonts w:ascii="Bookman Old Style" w:hAnsi="Bookman Old Style"/>
        </w:rPr>
        <w:t>in</w:t>
      </w:r>
      <w:r w:rsidR="00EF41B2" w:rsidRPr="00634F36">
        <w:rPr>
          <w:rFonts w:ascii="Bookman Old Style" w:hAnsi="Bookman Old Style"/>
        </w:rPr>
        <w:t xml:space="preserve"> fase di rinnovo dei CCNL del comparto pubblic</w:t>
      </w:r>
      <w:r w:rsidR="00DB1263" w:rsidRPr="00634F36">
        <w:rPr>
          <w:rFonts w:ascii="Bookman Old Style" w:hAnsi="Bookman Old Style"/>
        </w:rPr>
        <w:t>o</w:t>
      </w:r>
      <w:r w:rsidR="00EF41B2" w:rsidRPr="00634F36">
        <w:rPr>
          <w:rFonts w:ascii="Bookman Old Style" w:hAnsi="Bookman Old Style"/>
        </w:rPr>
        <w:t>.</w:t>
      </w:r>
    </w:p>
    <w:p w:rsidR="00DB1263" w:rsidRDefault="0031177F" w:rsidP="008002A8">
      <w:pPr>
        <w:spacing w:line="276" w:lineRule="auto"/>
        <w:jc w:val="both"/>
        <w:rPr>
          <w:rFonts w:ascii="Bookman Old Style" w:hAnsi="Bookman Old Style"/>
        </w:rPr>
      </w:pPr>
      <w:r w:rsidRPr="00634F36">
        <w:rPr>
          <w:rFonts w:ascii="Bookman Old Style" w:hAnsi="Bookman Old Style"/>
        </w:rPr>
        <w:t xml:space="preserve">Viene </w:t>
      </w:r>
      <w:r w:rsidR="003B5EE5" w:rsidRPr="00634F36">
        <w:rPr>
          <w:rFonts w:ascii="Bookman Old Style" w:hAnsi="Bookman Old Style"/>
        </w:rPr>
        <w:t>poi</w:t>
      </w:r>
      <w:r w:rsidRPr="00634F36">
        <w:rPr>
          <w:rFonts w:ascii="Bookman Old Style" w:hAnsi="Bookman Old Style"/>
        </w:rPr>
        <w:t xml:space="preserve"> </w:t>
      </w:r>
      <w:r w:rsidR="00373B05" w:rsidRPr="00634F36">
        <w:rPr>
          <w:rFonts w:ascii="Bookman Old Style" w:hAnsi="Bookman Old Style"/>
        </w:rPr>
        <w:t>introdotta una misura a regime per la</w:t>
      </w:r>
      <w:r w:rsidRPr="00634F36">
        <w:rPr>
          <w:rFonts w:ascii="Bookman Old Style" w:hAnsi="Bookman Old Style"/>
        </w:rPr>
        <w:t xml:space="preserve"> </w:t>
      </w:r>
      <w:r w:rsidRPr="00634F36">
        <w:rPr>
          <w:rFonts w:ascii="Bookman Old Style" w:hAnsi="Bookman Old Style"/>
          <w:b/>
          <w:bCs/>
        </w:rPr>
        <w:t>progressione tra le aree</w:t>
      </w:r>
      <w:r w:rsidR="00512FC1" w:rsidRPr="00634F36">
        <w:rPr>
          <w:rFonts w:ascii="Bookman Old Style" w:hAnsi="Bookman Old Style"/>
        </w:rPr>
        <w:t xml:space="preserve">, </w:t>
      </w:r>
      <w:r w:rsidR="00182526" w:rsidRPr="00634F36">
        <w:rPr>
          <w:rFonts w:ascii="Bookman Old Style" w:hAnsi="Bookman Old Style"/>
        </w:rPr>
        <w:t>prevedendo</w:t>
      </w:r>
      <w:r w:rsidR="00512FC1" w:rsidRPr="00634F36">
        <w:rPr>
          <w:rFonts w:ascii="Bookman Old Style" w:hAnsi="Bookman Old Style"/>
        </w:rPr>
        <w:t xml:space="preserve"> </w:t>
      </w:r>
      <w:r w:rsidR="00182526" w:rsidRPr="00634F36">
        <w:rPr>
          <w:rFonts w:ascii="Bookman Old Style" w:hAnsi="Bookman Old Style"/>
        </w:rPr>
        <w:t>procedura comparativa basata sulla valutazione positiva conseguita dal dipendente negli ultimi tre anni di servizio, dell’assenza di provvedimenti disciplinari, del possesso di titoli professionali e di studio ulteriori rispetto a quelli previsti per l’accesso all’area, nonché dal numero e della tipologia degli incarichi rivestiti</w:t>
      </w:r>
      <w:r w:rsidR="00985676" w:rsidRPr="00634F36">
        <w:rPr>
          <w:rFonts w:ascii="Bookman Old Style" w:hAnsi="Bookman Old Style"/>
        </w:rPr>
        <w:t xml:space="preserve">, </w:t>
      </w:r>
      <w:r w:rsidR="000D4F1C" w:rsidRPr="00634F36">
        <w:rPr>
          <w:rFonts w:ascii="Bookman Old Style" w:hAnsi="Bookman Old Style"/>
        </w:rPr>
        <w:t>salva comunque una riserva di almeno il 50 per cento delle posizioni disponibili destinata all’accesso dall’esterno</w:t>
      </w:r>
      <w:r w:rsidR="00182526" w:rsidRPr="00634F36">
        <w:rPr>
          <w:rFonts w:ascii="Bookman Old Style" w:hAnsi="Bookman Old Style"/>
        </w:rPr>
        <w:t>.</w:t>
      </w:r>
    </w:p>
    <w:p w:rsidR="00306D2D" w:rsidRPr="00634F36" w:rsidRDefault="00306D2D" w:rsidP="00306D2D">
      <w:pPr>
        <w:spacing w:line="276" w:lineRule="auto"/>
        <w:jc w:val="both"/>
        <w:rPr>
          <w:rFonts w:ascii="Bookman Old Style" w:hAnsi="Bookman Old Style"/>
        </w:rPr>
      </w:pPr>
      <w:r w:rsidRPr="00306D2D">
        <w:rPr>
          <w:rFonts w:ascii="Bookman Old Style" w:hAnsi="Bookman Old Style"/>
        </w:rPr>
        <w:t>In  sede  di   revisione   degli   ordinamenti</w:t>
      </w:r>
      <w:r w:rsidR="00014CC6">
        <w:rPr>
          <w:rFonts w:ascii="Bookman Old Style" w:hAnsi="Bookman Old Style"/>
        </w:rPr>
        <w:t xml:space="preserve"> </w:t>
      </w:r>
      <w:r w:rsidRPr="00306D2D">
        <w:rPr>
          <w:rFonts w:ascii="Bookman Old Style" w:hAnsi="Bookman Old Style"/>
        </w:rPr>
        <w:t>professionali, i contratti collettivi nazionali di lavoro di comparto</w:t>
      </w:r>
      <w:r>
        <w:rPr>
          <w:rFonts w:ascii="Bookman Old Style" w:hAnsi="Bookman Old Style"/>
        </w:rPr>
        <w:t xml:space="preserve"> </w:t>
      </w:r>
      <w:r w:rsidR="00014CC6">
        <w:rPr>
          <w:rFonts w:ascii="Bookman Old Style" w:hAnsi="Bookman Old Style"/>
        </w:rPr>
        <w:t>p</w:t>
      </w:r>
      <w:r w:rsidRPr="00306D2D">
        <w:rPr>
          <w:rFonts w:ascii="Bookman Old Style" w:hAnsi="Bookman Old Style"/>
        </w:rPr>
        <w:t>er il periodo 2019-2021 possono definire tabelle  di  corrispondenza</w:t>
      </w:r>
      <w:r>
        <w:rPr>
          <w:rFonts w:ascii="Bookman Old Style" w:hAnsi="Bookman Old Style"/>
        </w:rPr>
        <w:t xml:space="preserve"> </w:t>
      </w:r>
      <w:r w:rsidRPr="00306D2D">
        <w:rPr>
          <w:rFonts w:ascii="Bookman Old Style" w:hAnsi="Bookman Old Style"/>
        </w:rPr>
        <w:t>tra vecchi e nuovi inquadramenti, ad esclusione dell'area di  cui  al</w:t>
      </w:r>
      <w:r>
        <w:rPr>
          <w:rFonts w:ascii="Bookman Old Style" w:hAnsi="Bookman Old Style"/>
        </w:rPr>
        <w:t xml:space="preserve"> </w:t>
      </w:r>
      <w:r w:rsidRPr="00306D2D">
        <w:rPr>
          <w:rFonts w:ascii="Bookman Old Style" w:hAnsi="Bookman Old Style"/>
        </w:rPr>
        <w:t>secondo  periodo,  sulla  base   di   requisiti   di   esperienza   e</w:t>
      </w:r>
      <w:r>
        <w:rPr>
          <w:rFonts w:ascii="Bookman Old Style" w:hAnsi="Bookman Old Style"/>
        </w:rPr>
        <w:t xml:space="preserve"> </w:t>
      </w:r>
      <w:r w:rsidRPr="00306D2D">
        <w:rPr>
          <w:rFonts w:ascii="Bookman Old Style" w:hAnsi="Bookman Old Style"/>
        </w:rPr>
        <w:t>professionalit</w:t>
      </w:r>
      <w:r w:rsidR="00EE375E">
        <w:rPr>
          <w:rFonts w:ascii="Bookman Old Style" w:hAnsi="Bookman Old Style"/>
        </w:rPr>
        <w:t>à</w:t>
      </w:r>
      <w:r w:rsidRPr="00306D2D">
        <w:rPr>
          <w:rFonts w:ascii="Bookman Old Style" w:hAnsi="Bookman Old Style"/>
        </w:rPr>
        <w:t xml:space="preserve">    maturate     ed     effettivamente     utilizzate</w:t>
      </w:r>
      <w:r>
        <w:rPr>
          <w:rFonts w:ascii="Bookman Old Style" w:hAnsi="Bookman Old Style"/>
        </w:rPr>
        <w:t xml:space="preserve"> </w:t>
      </w:r>
      <w:r w:rsidRPr="00306D2D">
        <w:rPr>
          <w:rFonts w:ascii="Bookman Old Style" w:hAnsi="Bookman Old Style"/>
        </w:rPr>
        <w:t>dall'amministrazione di appartenenza per almeno cinque anni, an</w:t>
      </w:r>
      <w:r>
        <w:rPr>
          <w:rFonts w:ascii="Bookman Old Style" w:hAnsi="Bookman Old Style"/>
        </w:rPr>
        <w:t xml:space="preserve"> </w:t>
      </w:r>
      <w:r w:rsidRPr="00306D2D">
        <w:rPr>
          <w:rFonts w:ascii="Bookman Old Style" w:hAnsi="Bookman Old Style"/>
        </w:rPr>
        <w:t>che in</w:t>
      </w:r>
      <w:r>
        <w:rPr>
          <w:rFonts w:ascii="Bookman Old Style" w:hAnsi="Bookman Old Style"/>
        </w:rPr>
        <w:t xml:space="preserve"> </w:t>
      </w:r>
      <w:r w:rsidRPr="00306D2D">
        <w:rPr>
          <w:rFonts w:ascii="Bookman Old Style" w:hAnsi="Bookman Old Style"/>
        </w:rPr>
        <w:t>deroga al possesso del  titolo  di  studio  richiesto  per  l'accesso</w:t>
      </w:r>
      <w:r>
        <w:rPr>
          <w:rFonts w:ascii="Bookman Old Style" w:hAnsi="Bookman Old Style"/>
        </w:rPr>
        <w:t xml:space="preserve"> </w:t>
      </w:r>
      <w:r w:rsidRPr="00306D2D">
        <w:rPr>
          <w:rFonts w:ascii="Bookman Old Style" w:hAnsi="Bookman Old Style"/>
        </w:rPr>
        <w:t>all'area dall'esterno.</w:t>
      </w:r>
    </w:p>
    <w:p w:rsidR="001162AD" w:rsidRPr="00634F36" w:rsidRDefault="003B5EE5" w:rsidP="008002A8">
      <w:pPr>
        <w:spacing w:line="276" w:lineRule="auto"/>
        <w:jc w:val="both"/>
        <w:rPr>
          <w:rFonts w:ascii="Bookman Old Style" w:hAnsi="Bookman Old Style"/>
        </w:rPr>
      </w:pPr>
      <w:r w:rsidRPr="00634F36">
        <w:rPr>
          <w:rFonts w:ascii="Bookman Old Style" w:hAnsi="Bookman Old Style"/>
        </w:rPr>
        <w:t>Inoltre,</w:t>
      </w:r>
      <w:r w:rsidR="00013003" w:rsidRPr="00634F36">
        <w:rPr>
          <w:rFonts w:ascii="Bookman Old Style" w:hAnsi="Bookman Old Style"/>
        </w:rPr>
        <w:t xml:space="preserve"> si introduce la possibilità di superare </w:t>
      </w:r>
      <w:r w:rsidR="002B1179" w:rsidRPr="00634F36">
        <w:rPr>
          <w:rFonts w:ascii="Bookman Old Style" w:hAnsi="Bookman Old Style"/>
          <w:b/>
          <w:bCs/>
        </w:rPr>
        <w:t>limiti di spesa relativi al trattamento economico accessorio</w:t>
      </w:r>
      <w:r w:rsidR="002B1179" w:rsidRPr="00634F36">
        <w:rPr>
          <w:rFonts w:ascii="Bookman Old Style" w:hAnsi="Bookman Old Style"/>
        </w:rPr>
        <w:t xml:space="preserve"> di cui all’articolo 23, comma 2, del D.Lgs. n. 75/2017, </w:t>
      </w:r>
      <w:r w:rsidR="00956BB3" w:rsidRPr="00634F36">
        <w:rPr>
          <w:rFonts w:ascii="Bookman Old Style" w:hAnsi="Bookman Old Style"/>
        </w:rPr>
        <w:t>secondo criteri e modalità da definire nell’ambito dei contratti collettivi nazionali di lavoro e nei limiti delle risorse finanziarie destinate a tale finalità.</w:t>
      </w:r>
    </w:p>
    <w:p w:rsidR="00AF2812" w:rsidRPr="00634F36" w:rsidRDefault="00565238"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 xml:space="preserve">Il nulla-osta per il passaggio diretto tra </w:t>
      </w:r>
      <w:r w:rsidR="000660D4" w:rsidRPr="00634F36">
        <w:rPr>
          <w:rFonts w:ascii="Bookman Old Style" w:hAnsi="Bookman Old Style"/>
          <w:b/>
          <w:bCs/>
        </w:rPr>
        <w:t>amministrazioni</w:t>
      </w:r>
      <w:r w:rsidR="00AF2812" w:rsidRPr="00634F36">
        <w:rPr>
          <w:rFonts w:ascii="Bookman Old Style" w:hAnsi="Bookman Old Style"/>
          <w:b/>
          <w:bCs/>
        </w:rPr>
        <w:t xml:space="preserve"> (art. 3, comma 7)</w:t>
      </w:r>
    </w:p>
    <w:p w:rsidR="00E56FA1" w:rsidRPr="00634F36" w:rsidRDefault="00E56FA1" w:rsidP="00E56FA1">
      <w:pPr>
        <w:spacing w:line="276" w:lineRule="auto"/>
        <w:jc w:val="both"/>
        <w:rPr>
          <w:rFonts w:ascii="Bookman Old Style" w:hAnsi="Bookman Old Style"/>
          <w:b/>
          <w:bCs/>
          <w:u w:val="single"/>
        </w:rPr>
      </w:pPr>
      <w:r w:rsidRPr="00634F36">
        <w:rPr>
          <w:rFonts w:ascii="Bookman Old Style" w:hAnsi="Bookman Old Style"/>
        </w:rPr>
        <w:t xml:space="preserve">Con l’abrogazione del nulla-osta preventivo per </w:t>
      </w:r>
      <w:r w:rsidR="00F61A41" w:rsidRPr="00634F36">
        <w:rPr>
          <w:rFonts w:ascii="Bookman Old Style" w:hAnsi="Bookman Old Style"/>
        </w:rPr>
        <w:t>la mobilità in uscita il Decreto aveva introdotto una previsione molto critica per gli Enti locali</w:t>
      </w:r>
      <w:r w:rsidR="008A545B" w:rsidRPr="00634F36">
        <w:rPr>
          <w:rFonts w:ascii="Bookman Old Style" w:hAnsi="Bookman Old Style"/>
        </w:rPr>
        <w:t xml:space="preserve">. </w:t>
      </w:r>
      <w:r w:rsidR="008A545B" w:rsidRPr="00634F36">
        <w:rPr>
          <w:rFonts w:ascii="Bookman Old Style" w:hAnsi="Bookman Old Style"/>
          <w:b/>
          <w:bCs/>
          <w:u w:val="single"/>
        </w:rPr>
        <w:t>In sede di conversione è stata accolta</w:t>
      </w:r>
      <w:r w:rsidRPr="00634F36">
        <w:rPr>
          <w:rFonts w:ascii="Bookman Old Style" w:hAnsi="Bookman Old Style"/>
          <w:b/>
          <w:bCs/>
          <w:u w:val="single"/>
        </w:rPr>
        <w:t xml:space="preserve"> una important</w:t>
      </w:r>
      <w:r w:rsidR="00612771">
        <w:rPr>
          <w:rFonts w:ascii="Bookman Old Style" w:hAnsi="Bookman Old Style"/>
          <w:b/>
          <w:bCs/>
          <w:u w:val="single"/>
        </w:rPr>
        <w:t>e</w:t>
      </w:r>
      <w:r w:rsidRPr="00634F36">
        <w:rPr>
          <w:rFonts w:ascii="Bookman Old Style" w:hAnsi="Bookman Old Style"/>
          <w:b/>
          <w:bCs/>
          <w:u w:val="single"/>
        </w:rPr>
        <w:t xml:space="preserve"> modifica richiesta dall’ANCI alla nuova disciplina del passaggio diretto di personale tra pubbliche amministrazioni</w:t>
      </w:r>
      <w:r w:rsidR="00612771">
        <w:rPr>
          <w:rFonts w:ascii="Bookman Old Style" w:hAnsi="Bookman Old Style"/>
          <w:b/>
          <w:bCs/>
          <w:u w:val="single"/>
        </w:rPr>
        <w:t xml:space="preserve"> che mitiga </w:t>
      </w:r>
      <w:r w:rsidR="00EF3C99">
        <w:rPr>
          <w:rFonts w:ascii="Bookman Old Style" w:hAnsi="Bookman Old Style"/>
          <w:b/>
          <w:bCs/>
          <w:u w:val="single"/>
        </w:rPr>
        <w:t>l’eventuale impatto negativo.</w:t>
      </w:r>
    </w:p>
    <w:p w:rsidR="00E56FA1" w:rsidRPr="00634F36" w:rsidRDefault="00E56FA1" w:rsidP="00E56FA1">
      <w:pPr>
        <w:spacing w:line="276" w:lineRule="auto"/>
        <w:jc w:val="both"/>
        <w:rPr>
          <w:rFonts w:ascii="Bookman Old Style" w:hAnsi="Bookman Old Style"/>
        </w:rPr>
      </w:pPr>
      <w:r w:rsidRPr="00634F36">
        <w:rPr>
          <w:rFonts w:ascii="Bookman Old Style" w:hAnsi="Bookman Old Style"/>
        </w:rPr>
        <w:t>In particolare, in conseguenza degli emendamenti approvati in Commissione:</w:t>
      </w:r>
    </w:p>
    <w:p w:rsidR="00E56FA1" w:rsidRPr="00634F36" w:rsidRDefault="00E56FA1" w:rsidP="00E56FA1">
      <w:pPr>
        <w:pStyle w:val="Paragrafoelenco"/>
        <w:numPr>
          <w:ilvl w:val="0"/>
          <w:numId w:val="1"/>
        </w:numPr>
        <w:spacing w:line="276" w:lineRule="auto"/>
        <w:jc w:val="both"/>
        <w:rPr>
          <w:rFonts w:ascii="Bookman Old Style" w:hAnsi="Bookman Old Style"/>
        </w:rPr>
      </w:pPr>
      <w:r w:rsidRPr="00634F36">
        <w:rPr>
          <w:rFonts w:ascii="Bookman Old Style" w:hAnsi="Bookman Old Style"/>
          <w:u w:val="single"/>
        </w:rPr>
        <w:t xml:space="preserve">per tutti gli Enti locali con un numero di dipendenti a tempo indeterminato </w:t>
      </w:r>
      <w:r w:rsidRPr="00634F36">
        <w:rPr>
          <w:rFonts w:ascii="Bookman Old Style" w:hAnsi="Bookman Old Style"/>
          <w:b/>
          <w:bCs/>
          <w:u w:val="single"/>
        </w:rPr>
        <w:t>non superiore a 100</w:t>
      </w:r>
      <w:r w:rsidRPr="00634F36">
        <w:rPr>
          <w:rFonts w:ascii="Bookman Old Style" w:hAnsi="Bookman Old Style"/>
          <w:u w:val="single"/>
        </w:rPr>
        <w:t xml:space="preserve"> </w:t>
      </w:r>
      <w:r w:rsidRPr="00634F36">
        <w:rPr>
          <w:rFonts w:ascii="Bookman Old Style" w:hAnsi="Bookman Old Style"/>
        </w:rPr>
        <w:t>in caso di istanza di mobilità di un proprio dipendente verso altra amministrazione</w:t>
      </w:r>
      <w:r w:rsidRPr="00634F36">
        <w:rPr>
          <w:rFonts w:ascii="Bookman Old Style" w:hAnsi="Bookman Old Style"/>
          <w:u w:val="single"/>
        </w:rPr>
        <w:t xml:space="preserve"> è comunque richiesto il previo assenso dell’amministrazione di appartenenza</w:t>
      </w:r>
      <w:r w:rsidRPr="00634F36">
        <w:rPr>
          <w:rFonts w:ascii="Bookman Old Style" w:hAnsi="Bookman Old Style"/>
        </w:rPr>
        <w:t>;</w:t>
      </w:r>
    </w:p>
    <w:p w:rsidR="00E56FA1" w:rsidRPr="00634F36" w:rsidRDefault="00E56FA1" w:rsidP="00E56FA1">
      <w:pPr>
        <w:pStyle w:val="Paragrafoelenco"/>
        <w:numPr>
          <w:ilvl w:val="0"/>
          <w:numId w:val="1"/>
        </w:numPr>
        <w:spacing w:line="276" w:lineRule="auto"/>
        <w:jc w:val="both"/>
        <w:rPr>
          <w:rFonts w:ascii="Bookman Old Style" w:hAnsi="Bookman Old Style"/>
        </w:rPr>
      </w:pPr>
      <w:r w:rsidRPr="00634F36">
        <w:rPr>
          <w:rFonts w:ascii="Bookman Old Style" w:hAnsi="Bookman Old Style"/>
        </w:rPr>
        <w:t xml:space="preserve">qualora l’istanza di mobilità sia formulata dal dipendente di un Ente locale con un </w:t>
      </w:r>
      <w:r w:rsidRPr="00634F36">
        <w:rPr>
          <w:rFonts w:ascii="Bookman Old Style" w:hAnsi="Bookman Old Style"/>
          <w:u w:val="single"/>
        </w:rPr>
        <w:t xml:space="preserve">numero di dipendenti compreso </w:t>
      </w:r>
      <w:r w:rsidRPr="00634F36">
        <w:rPr>
          <w:rFonts w:ascii="Bookman Old Style" w:hAnsi="Bookman Old Style"/>
          <w:b/>
          <w:bCs/>
          <w:u w:val="single"/>
        </w:rPr>
        <w:t>tra 101 e 250</w:t>
      </w:r>
      <w:r w:rsidRPr="00634F36">
        <w:rPr>
          <w:rFonts w:ascii="Bookman Old Style" w:hAnsi="Bookman Old Style"/>
          <w:u w:val="single"/>
        </w:rPr>
        <w:t>, il nulla-osta è richiesto se la mobilità determina una carenza di organico superiore al 5%</w:t>
      </w:r>
      <w:r w:rsidRPr="00634F36">
        <w:rPr>
          <w:rFonts w:ascii="Bookman Old Style" w:hAnsi="Bookman Old Style"/>
        </w:rPr>
        <w:t xml:space="preserve"> nella qualifica corrispondente a quella del richiedente;</w:t>
      </w:r>
    </w:p>
    <w:p w:rsidR="00E56FA1" w:rsidRPr="00634F36" w:rsidRDefault="00E56FA1" w:rsidP="00E56FA1">
      <w:pPr>
        <w:pStyle w:val="Paragrafoelenco"/>
        <w:numPr>
          <w:ilvl w:val="0"/>
          <w:numId w:val="1"/>
        </w:numPr>
        <w:spacing w:line="276" w:lineRule="auto"/>
        <w:jc w:val="both"/>
        <w:rPr>
          <w:rFonts w:ascii="Bookman Old Style" w:hAnsi="Bookman Old Style"/>
        </w:rPr>
      </w:pPr>
      <w:r w:rsidRPr="00634F36">
        <w:rPr>
          <w:rFonts w:ascii="Bookman Old Style" w:hAnsi="Bookman Old Style"/>
        </w:rPr>
        <w:t xml:space="preserve">qualora l’istanza di mobilità sia formulata dal dipendente di un Ente locale con un </w:t>
      </w:r>
      <w:r w:rsidRPr="00634F36">
        <w:rPr>
          <w:rFonts w:ascii="Bookman Old Style" w:hAnsi="Bookman Old Style"/>
          <w:u w:val="single"/>
        </w:rPr>
        <w:t xml:space="preserve">numero di dipendenti compreso </w:t>
      </w:r>
      <w:r w:rsidRPr="00634F36">
        <w:rPr>
          <w:rFonts w:ascii="Bookman Old Style" w:hAnsi="Bookman Old Style"/>
          <w:b/>
          <w:bCs/>
          <w:u w:val="single"/>
        </w:rPr>
        <w:t>tra 251 e 500</w:t>
      </w:r>
      <w:r w:rsidRPr="00634F36">
        <w:rPr>
          <w:rFonts w:ascii="Bookman Old Style" w:hAnsi="Bookman Old Style"/>
          <w:u w:val="single"/>
        </w:rPr>
        <w:t>, il nulla-osta è richiesto se la mobilità determina una carenza di organico superiore al 10%</w:t>
      </w:r>
      <w:r w:rsidRPr="00634F36">
        <w:rPr>
          <w:rFonts w:ascii="Bookman Old Style" w:hAnsi="Bookman Old Style"/>
        </w:rPr>
        <w:t xml:space="preserve"> nella qualifica corrispondente a quella del richiedente;</w:t>
      </w:r>
    </w:p>
    <w:p w:rsidR="00E56FA1" w:rsidRPr="00634F36" w:rsidRDefault="00E56FA1" w:rsidP="00E56FA1">
      <w:pPr>
        <w:pStyle w:val="Paragrafoelenco"/>
        <w:numPr>
          <w:ilvl w:val="0"/>
          <w:numId w:val="1"/>
        </w:numPr>
        <w:spacing w:line="276" w:lineRule="auto"/>
        <w:jc w:val="both"/>
        <w:rPr>
          <w:rFonts w:ascii="Bookman Old Style" w:hAnsi="Bookman Old Style"/>
        </w:rPr>
      </w:pPr>
      <w:r w:rsidRPr="00634F36">
        <w:rPr>
          <w:rFonts w:ascii="Bookman Old Style" w:hAnsi="Bookman Old Style"/>
        </w:rPr>
        <w:t xml:space="preserve">qualora l’istanza di mobilità sia formulata dal dipendente di un Ente locale con un </w:t>
      </w:r>
      <w:r w:rsidRPr="00634F36">
        <w:rPr>
          <w:rFonts w:ascii="Bookman Old Style" w:hAnsi="Bookman Old Style"/>
          <w:u w:val="single"/>
        </w:rPr>
        <w:t xml:space="preserve">numero di dipendenti </w:t>
      </w:r>
      <w:r w:rsidRPr="00634F36">
        <w:rPr>
          <w:rFonts w:ascii="Bookman Old Style" w:hAnsi="Bookman Old Style"/>
          <w:b/>
          <w:bCs/>
          <w:u w:val="single"/>
        </w:rPr>
        <w:t>superiore a 500</w:t>
      </w:r>
      <w:r w:rsidRPr="00634F36">
        <w:rPr>
          <w:rFonts w:ascii="Bookman Old Style" w:hAnsi="Bookman Old Style"/>
          <w:u w:val="single"/>
        </w:rPr>
        <w:t>, il nulla-osta è richiesto se la mobilità determina una carenza di organico superiore al 2</w:t>
      </w:r>
      <w:r w:rsidR="002E3B19">
        <w:rPr>
          <w:rFonts w:ascii="Bookman Old Style" w:hAnsi="Bookman Old Style"/>
          <w:u w:val="single"/>
        </w:rPr>
        <w:t>0</w:t>
      </w:r>
      <w:r w:rsidRPr="00634F36">
        <w:rPr>
          <w:rFonts w:ascii="Bookman Old Style" w:hAnsi="Bookman Old Style"/>
          <w:u w:val="single"/>
        </w:rPr>
        <w:t>%</w:t>
      </w:r>
      <w:r w:rsidRPr="00634F36">
        <w:rPr>
          <w:rFonts w:ascii="Bookman Old Style" w:hAnsi="Bookman Old Style"/>
        </w:rPr>
        <w:t xml:space="preserve"> nella qualifica corrispondente a quella del richiedente.</w:t>
      </w:r>
    </w:p>
    <w:p w:rsidR="00E56FA1" w:rsidRPr="00634F36" w:rsidRDefault="00E56FA1" w:rsidP="00E56FA1">
      <w:pPr>
        <w:spacing w:line="276" w:lineRule="auto"/>
        <w:jc w:val="both"/>
        <w:rPr>
          <w:rFonts w:ascii="Bookman Old Style" w:hAnsi="Bookman Old Style"/>
        </w:rPr>
      </w:pPr>
      <w:r w:rsidRPr="00634F36">
        <w:rPr>
          <w:rFonts w:ascii="Bookman Old Style" w:hAnsi="Bookman Old Style"/>
        </w:rPr>
        <w:t xml:space="preserve">In ogni caso, </w:t>
      </w:r>
      <w:r w:rsidRPr="00634F36">
        <w:rPr>
          <w:rFonts w:ascii="Bookman Old Style" w:hAnsi="Bookman Old Style"/>
          <w:b/>
          <w:bCs/>
        </w:rPr>
        <w:t>per tutti gli Enti locali</w:t>
      </w:r>
      <w:r w:rsidRPr="00634F36">
        <w:rPr>
          <w:rFonts w:ascii="Bookman Old Style" w:hAnsi="Bookman Old Style"/>
        </w:rPr>
        <w:t>, a prescindere dalle richiamate fasce dimensionali è previsto:</w:t>
      </w:r>
    </w:p>
    <w:p w:rsidR="00E56FA1" w:rsidRPr="00634F36" w:rsidRDefault="00E56FA1" w:rsidP="00E56FA1">
      <w:pPr>
        <w:spacing w:line="276" w:lineRule="auto"/>
        <w:jc w:val="both"/>
        <w:rPr>
          <w:rFonts w:ascii="Bookman Old Style" w:hAnsi="Bookman Old Style"/>
        </w:rPr>
      </w:pPr>
      <w:r w:rsidRPr="00634F36">
        <w:rPr>
          <w:rFonts w:ascii="Bookman Old Style" w:hAnsi="Bookman Old Style"/>
        </w:rPr>
        <w:t>-</w:t>
      </w:r>
      <w:r w:rsidRPr="00634F36">
        <w:rPr>
          <w:rFonts w:ascii="Bookman Old Style" w:hAnsi="Bookman Old Style"/>
        </w:rPr>
        <w:tab/>
        <w:t>l’</w:t>
      </w:r>
      <w:r w:rsidRPr="00634F36">
        <w:rPr>
          <w:rFonts w:ascii="Bookman Old Style" w:hAnsi="Bookman Old Style"/>
          <w:b/>
          <w:bCs/>
        </w:rPr>
        <w:t>obbligo di permanenza</w:t>
      </w:r>
      <w:r w:rsidRPr="00634F36">
        <w:rPr>
          <w:rFonts w:ascii="Bookman Old Style" w:hAnsi="Bookman Old Style"/>
        </w:rPr>
        <w:t xml:space="preserve"> del dipendente neo-assunto nella sede di prima assegnazione per almeno 5 anni;</w:t>
      </w:r>
    </w:p>
    <w:p w:rsidR="00E56FA1" w:rsidRPr="00634F36" w:rsidRDefault="00E56FA1" w:rsidP="00E56FA1">
      <w:pPr>
        <w:spacing w:line="276" w:lineRule="auto"/>
        <w:jc w:val="both"/>
        <w:rPr>
          <w:rFonts w:ascii="Bookman Old Style" w:hAnsi="Bookman Old Style"/>
        </w:rPr>
      </w:pPr>
      <w:r w:rsidRPr="00634F36">
        <w:rPr>
          <w:rFonts w:ascii="Bookman Old Style" w:hAnsi="Bookman Old Style"/>
        </w:rPr>
        <w:t>-</w:t>
      </w:r>
      <w:r w:rsidRPr="00634F36">
        <w:rPr>
          <w:rFonts w:ascii="Bookman Old Style" w:hAnsi="Bookman Old Style"/>
        </w:rPr>
        <w:tab/>
        <w:t xml:space="preserve">la possibilità di </w:t>
      </w:r>
      <w:r w:rsidRPr="00634F36">
        <w:rPr>
          <w:rFonts w:ascii="Bookman Old Style" w:hAnsi="Bookman Old Style"/>
          <w:b/>
          <w:bCs/>
        </w:rPr>
        <w:t>differire la cessione del personale a seguito di istanza di mobilità fino all’effettiva copertura</w:t>
      </w:r>
      <w:r w:rsidRPr="00634F36">
        <w:rPr>
          <w:rFonts w:ascii="Bookman Old Style" w:hAnsi="Bookman Old Style"/>
        </w:rPr>
        <w:t xml:space="preserve"> della posizione che si renderebbe vacante;</w:t>
      </w:r>
    </w:p>
    <w:p w:rsidR="00E56FA1" w:rsidRPr="00634F36" w:rsidRDefault="00E56FA1" w:rsidP="00E56FA1">
      <w:pPr>
        <w:spacing w:line="276" w:lineRule="auto"/>
        <w:jc w:val="both"/>
        <w:rPr>
          <w:rFonts w:ascii="Bookman Old Style" w:hAnsi="Bookman Old Style"/>
        </w:rPr>
      </w:pPr>
      <w:r w:rsidRPr="00634F36">
        <w:rPr>
          <w:rFonts w:ascii="Bookman Old Style" w:hAnsi="Bookman Old Style"/>
        </w:rPr>
        <w:t>-</w:t>
      </w:r>
      <w:r w:rsidRPr="00634F36">
        <w:rPr>
          <w:rFonts w:ascii="Bookman Old Style" w:hAnsi="Bookman Old Style"/>
        </w:rPr>
        <w:tab/>
        <w:t xml:space="preserve">la facoltà di un ulteriore differimento di 30 giorni per effettuare un </w:t>
      </w:r>
      <w:r w:rsidRPr="00634F36">
        <w:rPr>
          <w:rFonts w:ascii="Bookman Old Style" w:hAnsi="Bookman Old Style"/>
          <w:b/>
          <w:bCs/>
        </w:rPr>
        <w:t>periodo di affiancamento</w:t>
      </w:r>
      <w:r w:rsidRPr="00634F36">
        <w:rPr>
          <w:rFonts w:ascii="Bookman Old Style" w:hAnsi="Bookman Old Style"/>
        </w:rPr>
        <w:t>.</w:t>
      </w:r>
    </w:p>
    <w:p w:rsidR="00F55D1F" w:rsidRPr="00634F36" w:rsidRDefault="00F55D1F" w:rsidP="008002A8">
      <w:pPr>
        <w:spacing w:line="276" w:lineRule="auto"/>
        <w:jc w:val="both"/>
        <w:rPr>
          <w:rFonts w:ascii="Bookman Old Style" w:hAnsi="Bookman Old Style"/>
        </w:rPr>
      </w:pPr>
    </w:p>
    <w:p w:rsidR="000039F6" w:rsidRPr="00634F36" w:rsidRDefault="00F55D1F"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I</w:t>
      </w:r>
      <w:r w:rsidR="00756C86" w:rsidRPr="00634F36">
        <w:rPr>
          <w:rFonts w:ascii="Bookman Old Style" w:hAnsi="Bookman Old Style"/>
          <w:b/>
          <w:bCs/>
        </w:rPr>
        <w:t xml:space="preserve">l </w:t>
      </w:r>
      <w:r w:rsidRPr="00634F36">
        <w:rPr>
          <w:rFonts w:ascii="Bookman Old Style" w:hAnsi="Bookman Old Style"/>
          <w:b/>
          <w:bCs/>
        </w:rPr>
        <w:t>Piano integrato di attività e organizzazione</w:t>
      </w:r>
      <w:r w:rsidR="00B70373" w:rsidRPr="00634F36">
        <w:rPr>
          <w:rFonts w:ascii="Bookman Old Style" w:hAnsi="Bookman Old Style"/>
          <w:b/>
          <w:bCs/>
        </w:rPr>
        <w:t xml:space="preserve"> (art. 6)</w:t>
      </w:r>
    </w:p>
    <w:p w:rsidR="00016434" w:rsidRPr="00634F36" w:rsidRDefault="00831FB0" w:rsidP="008002A8">
      <w:pPr>
        <w:spacing w:line="276" w:lineRule="auto"/>
        <w:jc w:val="both"/>
        <w:rPr>
          <w:rFonts w:ascii="Bookman Old Style" w:eastAsia="Times New Roman" w:hAnsi="Bookman Old Style" w:cs="Times New Roman"/>
          <w:lang w:eastAsia="it-IT"/>
        </w:rPr>
      </w:pPr>
      <w:r w:rsidRPr="00634F36">
        <w:rPr>
          <w:rFonts w:ascii="Bookman Old Style" w:hAnsi="Bookman Old Style"/>
        </w:rPr>
        <w:t xml:space="preserve">L’art. 6 introduce il </w:t>
      </w:r>
      <w:r w:rsidRPr="00634F36">
        <w:rPr>
          <w:rFonts w:ascii="Bookman Old Style" w:eastAsia="Times New Roman" w:hAnsi="Bookman Old Style" w:cs="Times New Roman"/>
          <w:b/>
          <w:bCs/>
          <w:u w:val="single"/>
          <w:lang w:eastAsia="it-IT"/>
        </w:rPr>
        <w:t>Piano integrato di attività e organizzazione</w:t>
      </w:r>
      <w:r w:rsidR="002F20CE" w:rsidRPr="00634F36">
        <w:rPr>
          <w:rFonts w:ascii="Bookman Old Style" w:eastAsia="Times New Roman" w:hAnsi="Bookman Old Style" w:cs="Times New Roman"/>
          <w:lang w:eastAsia="it-IT"/>
        </w:rPr>
        <w:t xml:space="preserve">, di durata triennale e soggetto ad aggiornamento annuale, </w:t>
      </w:r>
      <w:r w:rsidR="0053642F" w:rsidRPr="00634F36">
        <w:rPr>
          <w:rFonts w:ascii="Bookman Old Style" w:eastAsia="Times New Roman" w:hAnsi="Bookman Old Style" w:cs="Times New Roman"/>
          <w:lang w:eastAsia="it-IT"/>
        </w:rPr>
        <w:t xml:space="preserve"> </w:t>
      </w:r>
      <w:r w:rsidR="002F20CE" w:rsidRPr="00634F36">
        <w:rPr>
          <w:rFonts w:ascii="Bookman Old Style" w:eastAsia="Times New Roman" w:hAnsi="Bookman Old Style" w:cs="Times New Roman"/>
          <w:lang w:eastAsia="it-IT"/>
        </w:rPr>
        <w:t>destinato a definire:</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 xml:space="preserve">a) gli obiettivi programmatici e strategici della performance secondo i principi e criteri direttivi di cui all’articolo 10, del D.Lgs. n. 150/2009; </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b) la strategia di gestione del capitale umano e di sviluppo organizzativo, anche mediante il ricorso al lavoro agile, e gli obiettivi formativi annuali e pluriennali, finalizzati al raggiungimento della completa alfabetizzazione digitale, allo sviluppo delle conoscenze tecniche e delle competenze trasversali e manageriali e all’accrescimento culturale e dei titoli di studio del personale correlati all’ambito d’impiego e alla progressione di carriera del personale;</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 xml:space="preserve">c) gli strumenti e gli obiettivi del reclutamento di nuove risorse e della valorizzazione delle risorse interne, prevedendo, oltre alle forme di reclutamento ordinario, la percentuale di posizioni disponibili nei limiti stabiliti dalla legge, sia destinata alle progressioni di carriera del personale, anche tra aree diverse, e le modalità di valorizzazione a tal fine dell’esperienza professionale maturata e dell’accrescimento culturale conseguito anche attraverso le attività poste in essere ai sensi della lettera b); </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 xml:space="preserve">d) gli strumenti e le fasi per giungere alla piena trasparenza dell’attività e dell’organizzazione amministrativa nonché per raggiungere gli obiettivi in materia di anticorruzione; </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 xml:space="preserve">e) l’elenco delle procedure da semplificare e reingegnerizzare ogni anno, anche mediante il ricorso alla tecnologia e sulla base della consultazione degli utenti, nonché la pianificazione delle attività inclusa la graduale misurazione dei tempi effettivi di completamento delle procedure effettuata attraverso strumenti automatizzati; </w:t>
      </w:r>
    </w:p>
    <w:p w:rsidR="00620A5E" w:rsidRPr="00634F36" w:rsidRDefault="00620A5E" w:rsidP="008002A8">
      <w:pPr>
        <w:spacing w:line="276" w:lineRule="auto"/>
        <w:jc w:val="both"/>
        <w:rPr>
          <w:rFonts w:ascii="Bookman Old Style" w:hAnsi="Bookman Old Style"/>
        </w:rPr>
      </w:pPr>
      <w:r w:rsidRPr="00634F36">
        <w:rPr>
          <w:rFonts w:ascii="Bookman Old Style" w:hAnsi="Bookman Old Style"/>
        </w:rPr>
        <w:t>f) le modalità e le azioni finalizzate a realizzare la piena accessibilità alle amministrazioni, fisica e digitale, da parte dei cittadini ultrasessantacinquenni e dei cittadini con disabilità;</w:t>
      </w:r>
    </w:p>
    <w:p w:rsidR="002F20CE" w:rsidRPr="00634F36" w:rsidRDefault="00620A5E" w:rsidP="008002A8">
      <w:pPr>
        <w:spacing w:line="276" w:lineRule="auto"/>
        <w:jc w:val="both"/>
        <w:rPr>
          <w:rFonts w:ascii="Bookman Old Style" w:hAnsi="Bookman Old Style"/>
        </w:rPr>
      </w:pPr>
      <w:r w:rsidRPr="00634F36">
        <w:rPr>
          <w:rFonts w:ascii="Bookman Old Style" w:hAnsi="Bookman Old Style"/>
        </w:rPr>
        <w:t>g) le modalità e le azioni finalizzate al pieno rispetto della parità di genere, anche con riguardo alla composizione delle commissioni esaminatrici dei concorsi.</w:t>
      </w:r>
    </w:p>
    <w:p w:rsidR="009F13D6" w:rsidRPr="00634F36" w:rsidRDefault="009F13D6" w:rsidP="008002A8">
      <w:pPr>
        <w:spacing w:line="276" w:lineRule="auto"/>
        <w:jc w:val="both"/>
        <w:rPr>
          <w:rFonts w:ascii="Bookman Old Style" w:hAnsi="Bookman Old Style"/>
          <w:b/>
          <w:bCs/>
          <w:u w:val="single"/>
        </w:rPr>
      </w:pPr>
      <w:r w:rsidRPr="00634F36">
        <w:rPr>
          <w:rFonts w:ascii="Bookman Old Style" w:hAnsi="Bookman Old Style"/>
          <w:b/>
          <w:bCs/>
          <w:u w:val="single"/>
        </w:rPr>
        <w:t xml:space="preserve">Il Piano </w:t>
      </w:r>
      <w:r w:rsidR="007F79A5" w:rsidRPr="00634F36">
        <w:rPr>
          <w:rFonts w:ascii="Bookman Old Style" w:hAnsi="Bookman Old Style"/>
          <w:b/>
          <w:bCs/>
          <w:u w:val="single"/>
        </w:rPr>
        <w:t xml:space="preserve">deve essere </w:t>
      </w:r>
      <w:r w:rsidR="007D1322" w:rsidRPr="00634F36">
        <w:rPr>
          <w:rFonts w:ascii="Bookman Old Style" w:hAnsi="Bookman Old Style"/>
          <w:b/>
          <w:bCs/>
          <w:u w:val="single"/>
        </w:rPr>
        <w:t>aggiornato</w:t>
      </w:r>
      <w:r w:rsidR="007F79A5" w:rsidRPr="00634F36">
        <w:rPr>
          <w:rFonts w:ascii="Bookman Old Style" w:hAnsi="Bookman Old Style"/>
          <w:b/>
          <w:bCs/>
          <w:u w:val="single"/>
        </w:rPr>
        <w:t xml:space="preserve"> e pubblicato </w:t>
      </w:r>
      <w:r w:rsidR="007D1322" w:rsidRPr="00634F36">
        <w:rPr>
          <w:rFonts w:ascii="Bookman Old Style" w:hAnsi="Bookman Old Style"/>
          <w:b/>
          <w:bCs/>
          <w:u w:val="single"/>
        </w:rPr>
        <w:t xml:space="preserve">entro il 31 </w:t>
      </w:r>
      <w:r w:rsidR="00333FC9">
        <w:rPr>
          <w:rFonts w:ascii="Bookman Old Style" w:hAnsi="Bookman Old Style"/>
          <w:b/>
          <w:bCs/>
          <w:u w:val="single"/>
        </w:rPr>
        <w:t xml:space="preserve">gennaio di ogni anno e dunque la prima scadenza sarà il 31 gennaio 2022. Va sottolineato altresì che il Piano è obbligatorio per </w:t>
      </w:r>
      <w:r w:rsidRPr="00634F36">
        <w:rPr>
          <w:rFonts w:ascii="Bookman Old Style" w:hAnsi="Bookman Old Style"/>
          <w:b/>
          <w:bCs/>
          <w:u w:val="single"/>
        </w:rPr>
        <w:t>le Amministrazioni con pi</w:t>
      </w:r>
      <w:r w:rsidR="007F79A5" w:rsidRPr="00634F36">
        <w:rPr>
          <w:rFonts w:ascii="Bookman Old Style" w:hAnsi="Bookman Old Style"/>
          <w:b/>
          <w:bCs/>
          <w:u w:val="single"/>
        </w:rPr>
        <w:t>ù di 50 dipendenti, mentre per le altre è prevista una forma semplificata</w:t>
      </w:r>
      <w:r w:rsidR="007D1322" w:rsidRPr="00634F36">
        <w:rPr>
          <w:rFonts w:ascii="Bookman Old Style" w:hAnsi="Bookman Old Style"/>
          <w:b/>
          <w:bCs/>
          <w:u w:val="single"/>
        </w:rPr>
        <w:t>.</w:t>
      </w:r>
    </w:p>
    <w:p w:rsidR="007D1322" w:rsidRDefault="00282392" w:rsidP="008002A8">
      <w:pPr>
        <w:spacing w:line="276" w:lineRule="auto"/>
        <w:jc w:val="both"/>
        <w:rPr>
          <w:rFonts w:ascii="Bookman Old Style" w:hAnsi="Bookman Old Style"/>
        </w:rPr>
      </w:pPr>
      <w:r w:rsidRPr="00634F36">
        <w:rPr>
          <w:rFonts w:ascii="Bookman Old Style" w:hAnsi="Bookman Old Style"/>
          <w:b/>
          <w:bCs/>
        </w:rPr>
        <w:t>E’ previsto</w:t>
      </w:r>
      <w:r w:rsidR="006667F2" w:rsidRPr="00634F36">
        <w:rPr>
          <w:rFonts w:ascii="Bookman Old Style" w:hAnsi="Bookman Old Style"/>
          <w:b/>
          <w:bCs/>
        </w:rPr>
        <w:t xml:space="preserve"> </w:t>
      </w:r>
      <w:r w:rsidRPr="00634F36">
        <w:rPr>
          <w:rFonts w:ascii="Bookman Old Style" w:hAnsi="Bookman Old Style"/>
          <w:b/>
          <w:bCs/>
        </w:rPr>
        <w:t xml:space="preserve">che, </w:t>
      </w:r>
      <w:r w:rsidR="00333FC9">
        <w:rPr>
          <w:rFonts w:ascii="Bookman Old Style" w:hAnsi="Bookman Old Style"/>
          <w:b/>
          <w:bCs/>
        </w:rPr>
        <w:t>entro centoventi giorni dall’entrata in vigore del decreto (</w:t>
      </w:r>
      <w:r w:rsidR="00333FC9" w:rsidRPr="00300F0D">
        <w:rPr>
          <w:rFonts w:ascii="Bookman Old Style" w:hAnsi="Bookman Old Style"/>
          <w:b/>
          <w:bCs/>
          <w:u w:val="single"/>
        </w:rPr>
        <w:t>dunque entro il 10 ottobre</w:t>
      </w:r>
      <w:r w:rsidR="00300F0D" w:rsidRPr="00300F0D">
        <w:rPr>
          <w:rFonts w:ascii="Bookman Old Style" w:hAnsi="Bookman Old Style"/>
          <w:b/>
          <w:bCs/>
          <w:u w:val="single"/>
        </w:rPr>
        <w:t xml:space="preserve"> p.v.</w:t>
      </w:r>
      <w:r w:rsidR="00333FC9" w:rsidRPr="00300F0D">
        <w:rPr>
          <w:rFonts w:ascii="Bookman Old Style" w:hAnsi="Bookman Old Style"/>
          <w:b/>
          <w:bCs/>
          <w:u w:val="single"/>
        </w:rPr>
        <w:t>),</w:t>
      </w:r>
      <w:r w:rsidR="00BC6A88">
        <w:rPr>
          <w:rFonts w:ascii="Bookman Old Style" w:hAnsi="Bookman Old Style"/>
          <w:b/>
          <w:bCs/>
          <w:u w:val="single"/>
        </w:rPr>
        <w:t xml:space="preserve"> con uno o più decreti del Presidente della Repubblica,</w:t>
      </w:r>
      <w:r w:rsidR="00333FC9">
        <w:rPr>
          <w:rFonts w:ascii="Bookman Old Style" w:hAnsi="Bookman Old Style"/>
          <w:b/>
          <w:bCs/>
        </w:rPr>
        <w:t xml:space="preserve"> </w:t>
      </w:r>
      <w:r w:rsidR="00BC6A88">
        <w:rPr>
          <w:rFonts w:ascii="Bookman Old Style" w:hAnsi="Bookman Old Style"/>
          <w:b/>
          <w:bCs/>
        </w:rPr>
        <w:t>previa</w:t>
      </w:r>
      <w:r w:rsidRPr="00634F36">
        <w:rPr>
          <w:rFonts w:ascii="Bookman Old Style" w:hAnsi="Bookman Old Style"/>
          <w:b/>
          <w:bCs/>
        </w:rPr>
        <w:t xml:space="preserve"> intesa in Conferenza Unificata, siano individuati </w:t>
      </w:r>
      <w:r w:rsidR="00E4429D" w:rsidRPr="00634F36">
        <w:rPr>
          <w:rFonts w:ascii="Bookman Old Style" w:hAnsi="Bookman Old Style"/>
          <w:b/>
          <w:bCs/>
        </w:rPr>
        <w:t xml:space="preserve">ed abrogati </w:t>
      </w:r>
      <w:r w:rsidRPr="00634F36">
        <w:rPr>
          <w:rFonts w:ascii="Bookman Old Style" w:hAnsi="Bookman Old Style"/>
          <w:b/>
          <w:bCs/>
        </w:rPr>
        <w:t xml:space="preserve">tutti gli adempimenti </w:t>
      </w:r>
      <w:r w:rsidR="00333FC9">
        <w:rPr>
          <w:rFonts w:ascii="Bookman Old Style" w:hAnsi="Bookman Old Style"/>
          <w:b/>
          <w:bCs/>
        </w:rPr>
        <w:t xml:space="preserve">dei piani </w:t>
      </w:r>
      <w:r w:rsidRPr="00634F36">
        <w:rPr>
          <w:rFonts w:ascii="Bookman Old Style" w:hAnsi="Bookman Old Style"/>
          <w:b/>
          <w:bCs/>
        </w:rPr>
        <w:t xml:space="preserve">da considerarsi assorbiti </w:t>
      </w:r>
      <w:r w:rsidR="00E4429D" w:rsidRPr="00634F36">
        <w:rPr>
          <w:rFonts w:ascii="Bookman Old Style" w:hAnsi="Bookman Old Style"/>
          <w:b/>
          <w:bCs/>
        </w:rPr>
        <w:t>nel Piano</w:t>
      </w:r>
      <w:r w:rsidR="00333FC9">
        <w:rPr>
          <w:rFonts w:ascii="Bookman Old Style" w:hAnsi="Bookman Old Style"/>
          <w:b/>
          <w:bCs/>
        </w:rPr>
        <w:t xml:space="preserve"> de quo</w:t>
      </w:r>
      <w:r w:rsidR="00D13851" w:rsidRPr="00634F36">
        <w:rPr>
          <w:rFonts w:ascii="Bookman Old Style" w:hAnsi="Bookman Old Style"/>
        </w:rPr>
        <w:t xml:space="preserve"> (comma 5</w:t>
      </w:r>
      <w:r w:rsidR="006667F2" w:rsidRPr="00634F36">
        <w:rPr>
          <w:rFonts w:ascii="Bookman Old Style" w:hAnsi="Bookman Old Style"/>
        </w:rPr>
        <w:t>)</w:t>
      </w:r>
      <w:r w:rsidR="00E4429D" w:rsidRPr="00634F36">
        <w:rPr>
          <w:rFonts w:ascii="Bookman Old Style" w:hAnsi="Bookman Old Style"/>
        </w:rPr>
        <w:t xml:space="preserve">, </w:t>
      </w:r>
      <w:r w:rsidR="00BC6A88">
        <w:rPr>
          <w:rFonts w:ascii="Bookman Old Style" w:hAnsi="Bookman Old Style"/>
        </w:rPr>
        <w:t xml:space="preserve">nonché è previsto  entro il medesimo termine </w:t>
      </w:r>
      <w:r w:rsidR="00E4429D" w:rsidRPr="00634F36">
        <w:rPr>
          <w:rFonts w:ascii="Bookman Old Style" w:hAnsi="Bookman Old Style"/>
        </w:rPr>
        <w:t>che</w:t>
      </w:r>
      <w:r w:rsidR="00BC6A88">
        <w:rPr>
          <w:rFonts w:ascii="Bookman Old Style" w:hAnsi="Bookman Old Style"/>
        </w:rPr>
        <w:t xml:space="preserve"> il DFP</w:t>
      </w:r>
      <w:r w:rsidR="00E4429D" w:rsidRPr="00634F36">
        <w:rPr>
          <w:rFonts w:ascii="Bookman Old Style" w:hAnsi="Bookman Old Style"/>
        </w:rPr>
        <w:t xml:space="preserve"> </w:t>
      </w:r>
      <w:r w:rsidR="00D13851" w:rsidRPr="00634F36">
        <w:rPr>
          <w:rFonts w:ascii="Bookman Old Style" w:hAnsi="Bookman Old Style"/>
        </w:rPr>
        <w:t xml:space="preserve"> defini</w:t>
      </w:r>
      <w:r w:rsidR="00BC6A88">
        <w:rPr>
          <w:rFonts w:ascii="Bookman Old Style" w:hAnsi="Bookman Old Style"/>
        </w:rPr>
        <w:t>sca</w:t>
      </w:r>
      <w:r w:rsidR="00D13851" w:rsidRPr="00634F36">
        <w:rPr>
          <w:rFonts w:ascii="Bookman Old Style" w:hAnsi="Bookman Old Style"/>
        </w:rPr>
        <w:t xml:space="preserve"> un Piano-tipo, quale strumento di supporto alle amministrazioni (comma </w:t>
      </w:r>
      <w:r w:rsidR="006667F2" w:rsidRPr="00634F36">
        <w:rPr>
          <w:rFonts w:ascii="Bookman Old Style" w:hAnsi="Bookman Old Style"/>
        </w:rPr>
        <w:t>6</w:t>
      </w:r>
      <w:r w:rsidR="00D13851" w:rsidRPr="00634F36">
        <w:rPr>
          <w:rFonts w:ascii="Bookman Old Style" w:hAnsi="Bookman Old Style"/>
        </w:rPr>
        <w:t>)</w:t>
      </w:r>
      <w:r w:rsidR="00333FC9">
        <w:rPr>
          <w:rFonts w:ascii="Bookman Old Style" w:hAnsi="Bookman Old Style"/>
        </w:rPr>
        <w:t xml:space="preserve"> nonché per individuare le modalità semplificate del Piano per gli Enti con meno di 50 dipendenti</w:t>
      </w:r>
      <w:r w:rsidR="006667F2" w:rsidRPr="00634F36">
        <w:rPr>
          <w:rFonts w:ascii="Bookman Old Style" w:hAnsi="Bookman Old Style"/>
        </w:rPr>
        <w:t>.</w:t>
      </w:r>
    </w:p>
    <w:p w:rsidR="00BC6A88" w:rsidRPr="00634F36" w:rsidRDefault="00BC6A88" w:rsidP="008002A8">
      <w:pPr>
        <w:spacing w:line="276" w:lineRule="auto"/>
        <w:jc w:val="both"/>
        <w:rPr>
          <w:rFonts w:ascii="Bookman Old Style" w:hAnsi="Bookman Old Style"/>
        </w:rPr>
      </w:pPr>
      <w:r>
        <w:rPr>
          <w:rFonts w:ascii="Bookman Old Style" w:hAnsi="Bookman Old Style"/>
        </w:rPr>
        <w:t>Pertanto, si deve ritenere che l’adozione dei provvedimenti suindicati sia propedeutica e condizione essenziale per consentire alle PPAA interessate di procedere alla redazione dei propri Piani.</w:t>
      </w:r>
    </w:p>
    <w:p w:rsidR="00116729" w:rsidRDefault="00116729" w:rsidP="008002A8">
      <w:pPr>
        <w:spacing w:line="276" w:lineRule="auto"/>
        <w:jc w:val="both"/>
        <w:rPr>
          <w:rFonts w:ascii="Bookman Old Style" w:hAnsi="Bookman Old Style"/>
          <w:u w:val="single"/>
        </w:rPr>
      </w:pPr>
      <w:r w:rsidRPr="00634F36">
        <w:rPr>
          <w:rFonts w:ascii="Bookman Old Style" w:hAnsi="Bookman Old Style"/>
          <w:u w:val="single"/>
        </w:rPr>
        <w:t>Sotto il primo profilo, in considerazione dei contenuti del Piano, assumono rilievo</w:t>
      </w:r>
      <w:r w:rsidR="005323A0" w:rsidRPr="00634F36">
        <w:rPr>
          <w:rFonts w:ascii="Bookman Old Style" w:hAnsi="Bookman Old Style"/>
          <w:u w:val="single"/>
        </w:rPr>
        <w:t>, tra gli altri,</w:t>
      </w:r>
      <w:r w:rsidRPr="00634F36">
        <w:rPr>
          <w:rFonts w:ascii="Bookman Old Style" w:hAnsi="Bookman Old Style"/>
          <w:u w:val="single"/>
        </w:rPr>
        <w:t xml:space="preserve"> </w:t>
      </w:r>
      <w:r w:rsidR="00E77E5C" w:rsidRPr="00634F36">
        <w:rPr>
          <w:rFonts w:ascii="Bookman Old Style" w:hAnsi="Bookman Old Style"/>
          <w:u w:val="single"/>
        </w:rPr>
        <w:t xml:space="preserve">il Piano della performance, </w:t>
      </w:r>
      <w:r w:rsidR="005323A0" w:rsidRPr="00634F36">
        <w:rPr>
          <w:rFonts w:ascii="Bookman Old Style" w:hAnsi="Bookman Old Style"/>
          <w:u w:val="single"/>
        </w:rPr>
        <w:t xml:space="preserve">il Piano operativo del lavoro agile (POLA) </w:t>
      </w:r>
      <w:r w:rsidR="00E77E5C" w:rsidRPr="00634F36">
        <w:rPr>
          <w:rFonts w:ascii="Bookman Old Style" w:hAnsi="Bookman Old Style"/>
          <w:u w:val="single"/>
        </w:rPr>
        <w:t>il Piano triennale dei fabbisogni di personale</w:t>
      </w:r>
      <w:r w:rsidR="00C20F5C" w:rsidRPr="00634F36">
        <w:rPr>
          <w:rFonts w:ascii="Bookman Old Style" w:hAnsi="Bookman Old Style"/>
          <w:u w:val="single"/>
        </w:rPr>
        <w:t xml:space="preserve"> (PTFP)</w:t>
      </w:r>
      <w:r w:rsidR="00E77E5C" w:rsidRPr="00634F36">
        <w:rPr>
          <w:rFonts w:ascii="Bookman Old Style" w:hAnsi="Bookman Old Style"/>
          <w:u w:val="single"/>
        </w:rPr>
        <w:t xml:space="preserve">, </w:t>
      </w:r>
      <w:r w:rsidRPr="00634F36">
        <w:rPr>
          <w:rFonts w:ascii="Bookman Old Style" w:hAnsi="Bookman Old Style"/>
          <w:u w:val="single"/>
        </w:rPr>
        <w:t xml:space="preserve">il Piano triennale </w:t>
      </w:r>
      <w:r w:rsidR="00807C09" w:rsidRPr="00634F36">
        <w:rPr>
          <w:rFonts w:ascii="Bookman Old Style" w:hAnsi="Bookman Old Style"/>
          <w:u w:val="single"/>
        </w:rPr>
        <w:t xml:space="preserve">di prevenzione della corruzione e della trasparenza (PTPC), </w:t>
      </w:r>
      <w:r w:rsidR="00300F0D">
        <w:rPr>
          <w:rFonts w:ascii="Bookman Old Style" w:hAnsi="Bookman Old Style"/>
          <w:u w:val="single"/>
        </w:rPr>
        <w:t xml:space="preserve">il Piano delle azioni positive per la parità di genere. </w:t>
      </w:r>
    </w:p>
    <w:p w:rsidR="00300F0D" w:rsidRDefault="00300F0D" w:rsidP="008002A8">
      <w:pPr>
        <w:spacing w:line="276" w:lineRule="auto"/>
        <w:jc w:val="both"/>
        <w:rPr>
          <w:rFonts w:ascii="Bookman Old Style" w:hAnsi="Bookman Old Style"/>
          <w:b/>
          <w:i/>
          <w:u w:val="single"/>
        </w:rPr>
      </w:pPr>
      <w:r w:rsidRPr="00300F0D">
        <w:rPr>
          <w:rFonts w:ascii="Bookman Old Style" w:hAnsi="Bookman Old Style"/>
          <w:b/>
          <w:i/>
          <w:u w:val="single"/>
        </w:rPr>
        <w:t>Si sottolinea come, dal tenore letterale della disposizione in esame, la concreta definizione dei contenuti del Piano non sia possibile per gli Enti se non dopo l’</w:t>
      </w:r>
      <w:r>
        <w:rPr>
          <w:rFonts w:ascii="Bookman Old Style" w:hAnsi="Bookman Old Style"/>
          <w:b/>
          <w:i/>
          <w:u w:val="single"/>
        </w:rPr>
        <w:t>I</w:t>
      </w:r>
      <w:r w:rsidRPr="00300F0D">
        <w:rPr>
          <w:rFonts w:ascii="Bookman Old Style" w:hAnsi="Bookman Old Style"/>
          <w:b/>
          <w:i/>
          <w:u w:val="single"/>
        </w:rPr>
        <w:t>ntesa in Conferenza Unificata</w:t>
      </w:r>
      <w:r w:rsidR="00B20FD2">
        <w:rPr>
          <w:rFonts w:ascii="Bookman Old Style" w:hAnsi="Bookman Old Style"/>
          <w:b/>
          <w:i/>
          <w:u w:val="single"/>
        </w:rPr>
        <w:t xml:space="preserve"> (entro il 10 ottobre p.v.) </w:t>
      </w:r>
      <w:r w:rsidRPr="00300F0D">
        <w:rPr>
          <w:rFonts w:ascii="Bookman Old Style" w:hAnsi="Bookman Old Style"/>
          <w:b/>
          <w:i/>
          <w:u w:val="single"/>
        </w:rPr>
        <w:t xml:space="preserve"> in merito all’individuazione e abrogazione degli adempimenti relativi ai piani assorbiti dal P</w:t>
      </w:r>
      <w:r>
        <w:rPr>
          <w:rFonts w:ascii="Bookman Old Style" w:hAnsi="Bookman Old Style"/>
          <w:b/>
          <w:i/>
          <w:u w:val="single"/>
        </w:rPr>
        <w:t xml:space="preserve">iano de quo. </w:t>
      </w:r>
    </w:p>
    <w:p w:rsidR="006667F2" w:rsidRPr="00634F36" w:rsidRDefault="006667F2" w:rsidP="008002A8">
      <w:pPr>
        <w:spacing w:line="276" w:lineRule="auto"/>
        <w:jc w:val="both"/>
        <w:rPr>
          <w:rFonts w:ascii="Bookman Old Style" w:hAnsi="Bookman Old Style"/>
        </w:rPr>
      </w:pPr>
      <w:r w:rsidRPr="00634F36">
        <w:rPr>
          <w:rFonts w:ascii="Bookman Old Style" w:hAnsi="Bookman Old Style"/>
        </w:rPr>
        <w:t xml:space="preserve">La mancata approvazione del piano è sanzionata con il divieto di procedere ad assunzioni di personale </w:t>
      </w:r>
      <w:r w:rsidR="00BF7AE4" w:rsidRPr="00634F36">
        <w:rPr>
          <w:rFonts w:ascii="Bookman Old Style" w:hAnsi="Bookman Old Style"/>
        </w:rPr>
        <w:t xml:space="preserve">e di conferire incarichi, </w:t>
      </w:r>
      <w:r w:rsidRPr="00634F36">
        <w:rPr>
          <w:rFonts w:ascii="Bookman Old Style" w:hAnsi="Bookman Old Style"/>
        </w:rPr>
        <w:t>e l’impossibilità di erogare la retribuzione di risultato ai dirigenti</w:t>
      </w:r>
      <w:r w:rsidR="004641D3" w:rsidRPr="00634F36">
        <w:rPr>
          <w:rFonts w:ascii="Bookman Old Style" w:hAnsi="Bookman Old Style"/>
        </w:rPr>
        <w:t xml:space="preserve"> ai quali sia imputabile l’omissione</w:t>
      </w:r>
      <w:r w:rsidRPr="00634F36">
        <w:rPr>
          <w:rFonts w:ascii="Bookman Old Style" w:hAnsi="Bookman Old Style"/>
        </w:rPr>
        <w:t>.</w:t>
      </w:r>
    </w:p>
    <w:p w:rsidR="00C4201B" w:rsidRPr="00634F36" w:rsidRDefault="00245E7A" w:rsidP="008002A8">
      <w:pPr>
        <w:spacing w:line="276" w:lineRule="auto"/>
        <w:jc w:val="both"/>
        <w:rPr>
          <w:rFonts w:ascii="Bookman Old Style" w:hAnsi="Bookman Old Style"/>
        </w:rPr>
      </w:pPr>
      <w:r w:rsidRPr="00634F36">
        <w:rPr>
          <w:rFonts w:ascii="Bookman Old Style" w:hAnsi="Bookman Old Style"/>
        </w:rPr>
        <w:t xml:space="preserve">In sede di conversione è stata introdotta una misura specifica per gli Enti di minori dimensioni, con a previsione che </w:t>
      </w:r>
      <w:r w:rsidR="00BC6A88">
        <w:rPr>
          <w:rFonts w:ascii="Bookman Old Style" w:hAnsi="Bookman Old Style"/>
          <w:b/>
          <w:bCs/>
        </w:rPr>
        <w:t>i Comuni</w:t>
      </w:r>
      <w:r w:rsidRPr="00634F36">
        <w:rPr>
          <w:rFonts w:ascii="Bookman Old Style" w:hAnsi="Bookman Old Style"/>
          <w:b/>
          <w:bCs/>
        </w:rPr>
        <w:t xml:space="preserve"> con meno di 15.000 abitanti provvedono all’attuazione del piano integrato delle attività e organizzazione nonché al monitoraggio delle performance organizzative anche attraverso l'individuazione di un ufficio associato, tra quelli esistenti in ambito provinciale e metropolitano, secondo le indicazioni delle Assemblee dei Sindaci e delle Conferenze metropolitane.</w:t>
      </w:r>
    </w:p>
    <w:p w:rsidR="00A662DE" w:rsidRPr="00634F36" w:rsidRDefault="00A662DE" w:rsidP="008002A8">
      <w:pPr>
        <w:spacing w:line="276" w:lineRule="auto"/>
        <w:jc w:val="both"/>
        <w:rPr>
          <w:rFonts w:ascii="Bookman Old Style" w:hAnsi="Bookman Old Style"/>
        </w:rPr>
      </w:pPr>
    </w:p>
    <w:p w:rsidR="00A662DE" w:rsidRPr="00634F36" w:rsidRDefault="00020B16" w:rsidP="008002A8">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Conferimento</w:t>
      </w:r>
      <w:r w:rsidR="00D1047A" w:rsidRPr="00634F36">
        <w:rPr>
          <w:rFonts w:ascii="Bookman Old Style" w:hAnsi="Bookman Old Style"/>
          <w:b/>
          <w:bCs/>
        </w:rPr>
        <w:t xml:space="preserve"> di incarichi di collaborazione per </w:t>
      </w:r>
      <w:r w:rsidRPr="00634F36">
        <w:rPr>
          <w:rFonts w:ascii="Bookman Old Style" w:hAnsi="Bookman Old Style"/>
          <w:b/>
          <w:bCs/>
        </w:rPr>
        <w:t>il supporto ai procedimenti amministrativi connessi all’attuazione del PNRR (art. 9)</w:t>
      </w:r>
    </w:p>
    <w:p w:rsidR="00020B16" w:rsidRPr="00634F36" w:rsidRDefault="00DC6B27" w:rsidP="008002A8">
      <w:pPr>
        <w:spacing w:line="276" w:lineRule="auto"/>
        <w:jc w:val="both"/>
        <w:rPr>
          <w:rFonts w:ascii="Bookman Old Style" w:hAnsi="Bookman Old Style"/>
        </w:rPr>
      </w:pPr>
      <w:r w:rsidRPr="00634F36">
        <w:rPr>
          <w:rFonts w:ascii="Bookman Old Style" w:hAnsi="Bookman Old Style"/>
        </w:rPr>
        <w:t xml:space="preserve">L’art. 9 prevede </w:t>
      </w:r>
      <w:r w:rsidR="00E24939" w:rsidRPr="00634F36">
        <w:rPr>
          <w:rFonts w:ascii="Bookman Old Style" w:hAnsi="Bookman Old Style"/>
        </w:rPr>
        <w:t xml:space="preserve">che con decreto del Presidente del Consiglio dei </w:t>
      </w:r>
      <w:r w:rsidR="00BC6A88">
        <w:rPr>
          <w:rFonts w:ascii="Bookman Old Style" w:hAnsi="Bookman Old Style"/>
        </w:rPr>
        <w:t>M</w:t>
      </w:r>
      <w:r w:rsidR="00E24939" w:rsidRPr="00634F36">
        <w:rPr>
          <w:rFonts w:ascii="Bookman Old Style" w:hAnsi="Bookman Old Style"/>
        </w:rPr>
        <w:t xml:space="preserve">inistri, adottato su proposta del Ministro per la PA di concerto con il MEF e con il Ministro per gli affari regionali e le autonomie e con il Ministro per il sud e la coesione territoriale, previa intesa in Conferenza unificata è effettuato il </w:t>
      </w:r>
      <w:r w:rsidR="005767B3" w:rsidRPr="00634F36">
        <w:rPr>
          <w:rFonts w:ascii="Bookman Old Style" w:hAnsi="Bookman Old Style"/>
        </w:rPr>
        <w:t xml:space="preserve"> riparto, </w:t>
      </w:r>
      <w:r w:rsidR="00E24939" w:rsidRPr="00634F36">
        <w:rPr>
          <w:rFonts w:ascii="Bookman Old Style" w:hAnsi="Bookman Old Style"/>
        </w:rPr>
        <w:t>delle risorse</w:t>
      </w:r>
      <w:r w:rsidR="00FF7DC4" w:rsidRPr="00634F36">
        <w:rPr>
          <w:rFonts w:ascii="Bookman Old Style" w:hAnsi="Bookman Old Style"/>
        </w:rPr>
        <w:t>, nel limite massimo di 20 milioni di euro per l’anno 2021, di 55 milioni di euro per ciascuno degli anni 2022 e 2023 e di 35 milioni di euro per l’anno 2024,</w:t>
      </w:r>
      <w:r w:rsidR="005767B3" w:rsidRPr="00634F36">
        <w:rPr>
          <w:rFonts w:ascii="Bookman Old Style" w:hAnsi="Bookman Old Style"/>
        </w:rPr>
        <w:t xml:space="preserve"> </w:t>
      </w:r>
      <w:r w:rsidR="00FF7DC4" w:rsidRPr="00634F36">
        <w:rPr>
          <w:rFonts w:ascii="Bookman Old Style" w:hAnsi="Bookman Old Style"/>
        </w:rPr>
        <w:t>destinate a</w:t>
      </w:r>
      <w:r w:rsidR="000C0729" w:rsidRPr="00634F36">
        <w:rPr>
          <w:rFonts w:ascii="Bookman Old Style" w:hAnsi="Bookman Old Style"/>
        </w:rPr>
        <w:t xml:space="preserve"> finanziare il conferimento degli incarichi</w:t>
      </w:r>
      <w:r w:rsidR="000A53E7" w:rsidRPr="00634F36">
        <w:rPr>
          <w:rFonts w:ascii="Bookman Old Style" w:hAnsi="Bookman Old Style"/>
        </w:rPr>
        <w:t xml:space="preserve"> a professionisti ed esperti, da parte di Regioni ed Enti locali, attingendo dall’elenco del </w:t>
      </w:r>
      <w:r w:rsidR="00221EF8" w:rsidRPr="00634F36">
        <w:rPr>
          <w:rFonts w:ascii="Bookman Old Style" w:hAnsi="Bookman Old Style"/>
        </w:rPr>
        <w:t>P</w:t>
      </w:r>
      <w:r w:rsidR="000A53E7" w:rsidRPr="00634F36">
        <w:rPr>
          <w:rFonts w:ascii="Bookman Old Style" w:hAnsi="Bookman Old Style"/>
        </w:rPr>
        <w:t>ortale del reclutamento</w:t>
      </w:r>
      <w:r w:rsidR="00221EF8" w:rsidRPr="00634F36">
        <w:rPr>
          <w:rFonts w:ascii="Bookman Old Style" w:hAnsi="Bookman Old Style"/>
        </w:rPr>
        <w:t xml:space="preserve"> (vedi </w:t>
      </w:r>
      <w:r w:rsidR="00957A96" w:rsidRPr="00634F36">
        <w:rPr>
          <w:rFonts w:ascii="Bookman Old Style" w:hAnsi="Bookman Old Style"/>
        </w:rPr>
        <w:t>§2)</w:t>
      </w:r>
      <w:r w:rsidR="000A53E7" w:rsidRPr="00634F36">
        <w:rPr>
          <w:rFonts w:ascii="Bookman Old Style" w:hAnsi="Bookman Old Style"/>
        </w:rPr>
        <w:t xml:space="preserve">, </w:t>
      </w:r>
      <w:r w:rsidR="00221EF8" w:rsidRPr="00634F36">
        <w:rPr>
          <w:rFonts w:ascii="Bookman Old Style" w:hAnsi="Bookman Old Style"/>
        </w:rPr>
        <w:t>nel numero massimo di mille unità per il supporto nella gestione delle procedure complesse.</w:t>
      </w:r>
    </w:p>
    <w:p w:rsidR="000E10A2" w:rsidRPr="00634F36" w:rsidRDefault="000E10A2" w:rsidP="008002A8">
      <w:pPr>
        <w:spacing w:line="276" w:lineRule="auto"/>
        <w:jc w:val="both"/>
        <w:rPr>
          <w:rFonts w:ascii="Bookman Old Style" w:hAnsi="Bookman Old Style"/>
        </w:rPr>
      </w:pPr>
    </w:p>
    <w:p w:rsidR="000E10A2" w:rsidRPr="00634F36" w:rsidRDefault="000E10A2" w:rsidP="000E10A2">
      <w:pPr>
        <w:pStyle w:val="Paragrafoelenco"/>
        <w:numPr>
          <w:ilvl w:val="0"/>
          <w:numId w:val="6"/>
        </w:numPr>
        <w:spacing w:line="276" w:lineRule="auto"/>
        <w:jc w:val="both"/>
        <w:rPr>
          <w:rFonts w:ascii="Bookman Old Style" w:hAnsi="Bookman Old Style"/>
          <w:b/>
          <w:bCs/>
        </w:rPr>
      </w:pPr>
      <w:r w:rsidRPr="00634F36">
        <w:rPr>
          <w:rFonts w:ascii="Bookman Old Style" w:hAnsi="Bookman Old Style"/>
          <w:b/>
          <w:bCs/>
        </w:rPr>
        <w:t>Ulteriori modifiche introdotte in sede di conversione del Decreto</w:t>
      </w:r>
    </w:p>
    <w:p w:rsidR="00215BD0" w:rsidRDefault="00C227A5" w:rsidP="008E0541">
      <w:pPr>
        <w:spacing w:line="276" w:lineRule="auto"/>
        <w:jc w:val="both"/>
        <w:rPr>
          <w:rFonts w:ascii="Bookman Old Style" w:hAnsi="Bookman Old Style"/>
          <w:b/>
          <w:bCs/>
          <w:u w:val="single"/>
        </w:rPr>
      </w:pPr>
      <w:r>
        <w:rPr>
          <w:rFonts w:ascii="Bookman Old Style" w:hAnsi="Bookman Old Style"/>
          <w:b/>
          <w:bCs/>
          <w:u w:val="single"/>
        </w:rPr>
        <w:t xml:space="preserve">Oltre alla correzione della norma sul nulla osta per la mobilità illustrata in precedenza, si riportano di seguito altre importanti disposizioni introdotte dal maxi emendamento governativo: </w:t>
      </w:r>
    </w:p>
    <w:p w:rsidR="00215BD0" w:rsidRPr="00F0316C" w:rsidRDefault="00215BD0" w:rsidP="00F0316C">
      <w:pPr>
        <w:pStyle w:val="Paragrafoelenco"/>
        <w:numPr>
          <w:ilvl w:val="0"/>
          <w:numId w:val="8"/>
        </w:numPr>
        <w:spacing w:line="276" w:lineRule="auto"/>
        <w:jc w:val="both"/>
        <w:rPr>
          <w:rFonts w:ascii="Bookman Old Style" w:hAnsi="Bookman Old Style"/>
          <w:b/>
          <w:bCs/>
          <w:u w:val="single"/>
        </w:rPr>
      </w:pPr>
      <w:r w:rsidRPr="00F0316C">
        <w:rPr>
          <w:rFonts w:ascii="Bookman Old Style" w:hAnsi="Bookman Old Style"/>
          <w:b/>
          <w:bCs/>
          <w:u w:val="single"/>
        </w:rPr>
        <w:t>Disposizioni in materia di Segretari e Vicesegretari comunali</w:t>
      </w:r>
    </w:p>
    <w:p w:rsidR="00215BD0" w:rsidRDefault="00697E7F" w:rsidP="008E0541">
      <w:pPr>
        <w:spacing w:line="276" w:lineRule="auto"/>
        <w:jc w:val="both"/>
        <w:rPr>
          <w:rFonts w:ascii="Bookman Old Style" w:hAnsi="Bookman Old Style"/>
        </w:rPr>
      </w:pPr>
      <w:r>
        <w:rPr>
          <w:rFonts w:ascii="Bookman Old Style" w:hAnsi="Bookman Old Style"/>
        </w:rPr>
        <w:t xml:space="preserve">Di grande rilievo l’inserimento di due </w:t>
      </w:r>
      <w:r w:rsidR="0049086B">
        <w:rPr>
          <w:rFonts w:ascii="Bookman Old Style" w:hAnsi="Bookman Old Style"/>
        </w:rPr>
        <w:t>specifiche misure relative ai Segretari comunali e provinciali, anch’esse introdotte dietro pressante richiesta dell’A</w:t>
      </w:r>
      <w:r w:rsidR="006B5829">
        <w:rPr>
          <w:rFonts w:ascii="Bookman Old Style" w:hAnsi="Bookman Old Style"/>
        </w:rPr>
        <w:t>NCI</w:t>
      </w:r>
      <w:r w:rsidR="0049086B">
        <w:rPr>
          <w:rFonts w:ascii="Bookman Old Style" w:hAnsi="Bookman Old Style"/>
        </w:rPr>
        <w:t>:</w:t>
      </w:r>
    </w:p>
    <w:p w:rsidR="006B5829" w:rsidRPr="00BC6A88" w:rsidRDefault="006B5829" w:rsidP="0016462B">
      <w:pPr>
        <w:pStyle w:val="Paragrafoelenco"/>
        <w:numPr>
          <w:ilvl w:val="0"/>
          <w:numId w:val="1"/>
        </w:numPr>
        <w:spacing w:line="276" w:lineRule="auto"/>
        <w:jc w:val="both"/>
        <w:rPr>
          <w:u w:val="single"/>
        </w:rPr>
      </w:pPr>
      <w:r w:rsidRPr="00BC6A88">
        <w:rPr>
          <w:u w:val="single"/>
        </w:rPr>
        <w:t>Per i Segretari comunali, si prevede l’estensione dall’80 al 100% del turn-over</w:t>
      </w:r>
      <w:r w:rsidR="00AD727B" w:rsidRPr="00BC6A88">
        <w:rPr>
          <w:u w:val="single"/>
        </w:rPr>
        <w:t>. Con la conseguente abrogazione della misura di contenimento finanziario prevista dall’art. 14, comma 6, del D.L. n. 95/2012</w:t>
      </w:r>
      <w:r w:rsidR="00A508C8" w:rsidRPr="00BC6A88">
        <w:rPr>
          <w:u w:val="single"/>
        </w:rPr>
        <w:t xml:space="preserve"> (art. 6-bis)</w:t>
      </w:r>
      <w:r w:rsidR="00AD727B" w:rsidRPr="00BC6A88">
        <w:rPr>
          <w:u w:val="single"/>
        </w:rPr>
        <w:t>;</w:t>
      </w:r>
    </w:p>
    <w:p w:rsidR="00697E7F" w:rsidRPr="00BC6A88" w:rsidRDefault="00AD727B" w:rsidP="0016462B">
      <w:pPr>
        <w:pStyle w:val="Paragrafoelenco"/>
        <w:numPr>
          <w:ilvl w:val="0"/>
          <w:numId w:val="1"/>
        </w:numPr>
        <w:spacing w:line="276" w:lineRule="auto"/>
        <w:jc w:val="both"/>
        <w:rPr>
          <w:u w:val="single"/>
        </w:rPr>
      </w:pPr>
      <w:r w:rsidRPr="00BC6A88">
        <w:rPr>
          <w:u w:val="single"/>
        </w:rPr>
        <w:t>Per i Vicesegretari</w:t>
      </w:r>
      <w:r w:rsidR="005978FA" w:rsidRPr="00BC6A88">
        <w:rPr>
          <w:u w:val="single"/>
        </w:rPr>
        <w:t xml:space="preserve">, si prevede l’estensione da 12 a 24 mesi del </w:t>
      </w:r>
      <w:r w:rsidR="00734A68" w:rsidRPr="00BC6A88">
        <w:rPr>
          <w:u w:val="single"/>
        </w:rPr>
        <w:t xml:space="preserve">periodo nel quale </w:t>
      </w:r>
      <w:r w:rsidR="0067614D" w:rsidRPr="00BC6A88">
        <w:rPr>
          <w:u w:val="single"/>
        </w:rPr>
        <w:t>funzionari di ruolo dei comuni di minori dimensioni demografiche</w:t>
      </w:r>
      <w:r w:rsidR="00734A68" w:rsidRPr="00BC6A88">
        <w:rPr>
          <w:u w:val="single"/>
        </w:rPr>
        <w:t xml:space="preserve"> possono essere autorizzati a svolgere le funzioni di </w:t>
      </w:r>
      <w:r w:rsidR="000D20F0" w:rsidRPr="00BC6A88">
        <w:rPr>
          <w:u w:val="single"/>
        </w:rPr>
        <w:t>V</w:t>
      </w:r>
      <w:r w:rsidR="0067614D" w:rsidRPr="00BC6A88">
        <w:rPr>
          <w:u w:val="single"/>
        </w:rPr>
        <w:t>ice</w:t>
      </w:r>
      <w:r w:rsidR="00734A68" w:rsidRPr="00BC6A88">
        <w:rPr>
          <w:u w:val="single"/>
        </w:rPr>
        <w:t>segretario comunale nelle sedi vacanti</w:t>
      </w:r>
      <w:r w:rsidR="00A20D8B" w:rsidRPr="00BC6A88">
        <w:rPr>
          <w:u w:val="single"/>
        </w:rPr>
        <w:t>, nelle more della designazione del titolare</w:t>
      </w:r>
      <w:r w:rsidR="002B73B6" w:rsidRPr="00BC6A88">
        <w:rPr>
          <w:u w:val="single"/>
        </w:rPr>
        <w:t xml:space="preserve"> (art. </w:t>
      </w:r>
      <w:r w:rsidR="00A508C8" w:rsidRPr="00BC6A88">
        <w:rPr>
          <w:u w:val="single"/>
        </w:rPr>
        <w:t>3</w:t>
      </w:r>
      <w:r w:rsidR="002B73B6" w:rsidRPr="00BC6A88">
        <w:rPr>
          <w:u w:val="single"/>
        </w:rPr>
        <w:t>-quater)</w:t>
      </w:r>
      <w:r w:rsidR="00A20D8B" w:rsidRPr="00BC6A88">
        <w:rPr>
          <w:u w:val="single"/>
        </w:rPr>
        <w:t>.</w:t>
      </w:r>
    </w:p>
    <w:p w:rsidR="000D20F0" w:rsidRPr="000D20F0" w:rsidRDefault="000D20F0" w:rsidP="000D20F0">
      <w:pPr>
        <w:pStyle w:val="Paragrafoelenco"/>
        <w:spacing w:line="276" w:lineRule="auto"/>
        <w:jc w:val="both"/>
        <w:rPr>
          <w:rFonts w:ascii="Bookman Old Style" w:hAnsi="Bookman Old Style"/>
        </w:rPr>
      </w:pPr>
    </w:p>
    <w:p w:rsidR="008E0541" w:rsidRPr="00F0316C" w:rsidRDefault="008E0541" w:rsidP="00F0316C">
      <w:pPr>
        <w:pStyle w:val="Paragrafoelenco"/>
        <w:numPr>
          <w:ilvl w:val="0"/>
          <w:numId w:val="8"/>
        </w:numPr>
        <w:spacing w:line="276" w:lineRule="auto"/>
        <w:jc w:val="both"/>
        <w:rPr>
          <w:rFonts w:ascii="Bookman Old Style" w:hAnsi="Bookman Old Style"/>
          <w:b/>
          <w:bCs/>
        </w:rPr>
      </w:pPr>
      <w:r w:rsidRPr="00F0316C">
        <w:rPr>
          <w:rFonts w:ascii="Bookman Old Style" w:hAnsi="Bookman Old Style"/>
          <w:b/>
          <w:bCs/>
          <w:u w:val="single"/>
        </w:rPr>
        <w:t>Semplificazioni in materia di vincoli assunzionali per gli enti locali</w:t>
      </w:r>
      <w:r w:rsidR="00C67D29">
        <w:rPr>
          <w:rFonts w:ascii="Bookman Old Style" w:hAnsi="Bookman Old Style"/>
          <w:b/>
          <w:bCs/>
          <w:u w:val="single"/>
        </w:rPr>
        <w:t xml:space="preserve"> (art. 3-ter)</w:t>
      </w:r>
    </w:p>
    <w:p w:rsidR="008E0541" w:rsidRPr="00634F36" w:rsidRDefault="008E0541" w:rsidP="008E0541">
      <w:pPr>
        <w:spacing w:line="276" w:lineRule="auto"/>
        <w:jc w:val="both"/>
        <w:rPr>
          <w:rFonts w:ascii="Bookman Old Style" w:hAnsi="Bookman Old Style"/>
        </w:rPr>
      </w:pPr>
      <w:r w:rsidRPr="00634F36">
        <w:rPr>
          <w:rFonts w:ascii="Bookman Old Style" w:hAnsi="Bookman Old Style"/>
          <w:b/>
          <w:bCs/>
        </w:rPr>
        <w:t>Le Commissioni riunite hanno approvato  la proposta emendativa dell’ANCI</w:t>
      </w:r>
      <w:r w:rsidRPr="00634F36">
        <w:rPr>
          <w:rFonts w:ascii="Bookman Old Style" w:hAnsi="Bookman Old Style"/>
        </w:rPr>
        <w:t xml:space="preserve"> volta a garantire a tutti i Comuni la possibilità di effettuare assunzioni a tempo determinato necessarie a garantire l'attuazione del Piano nazionale di ripresa e resilienza, nonché l'esercizio delle funzioni di protezione civile, di polizia locale, di istruzione pubblica, inclusi i servizi e del settore sociale </w:t>
      </w:r>
      <w:r w:rsidRPr="00634F36">
        <w:rPr>
          <w:rFonts w:ascii="Bookman Old Style" w:hAnsi="Bookman Old Style"/>
          <w:u w:val="single"/>
        </w:rPr>
        <w:t>anche in caso di mancato rispetto del termine per l’approvazione del Bilancio, del Rendiconto, del Bilancio consolidato, e degli altri adempimenti previsti dall’art. 9, comma 1-quinquies, del D.L. n. 113/2016</w:t>
      </w:r>
      <w:r w:rsidRPr="00634F36">
        <w:rPr>
          <w:rFonts w:ascii="Bookman Old Style" w:hAnsi="Bookman Old Style"/>
        </w:rPr>
        <w:t>.</w:t>
      </w:r>
    </w:p>
    <w:p w:rsidR="008E0541" w:rsidRPr="00634F36" w:rsidRDefault="008E0541" w:rsidP="008E0541">
      <w:pPr>
        <w:spacing w:line="276" w:lineRule="auto"/>
        <w:jc w:val="both"/>
        <w:rPr>
          <w:rFonts w:ascii="Bookman Old Style" w:hAnsi="Bookman Old Style"/>
        </w:rPr>
      </w:pPr>
    </w:p>
    <w:p w:rsidR="008E0541" w:rsidRPr="00F0316C" w:rsidRDefault="008E0541" w:rsidP="00F0316C">
      <w:pPr>
        <w:pStyle w:val="Paragrafoelenco"/>
        <w:numPr>
          <w:ilvl w:val="0"/>
          <w:numId w:val="8"/>
        </w:numPr>
        <w:spacing w:line="276" w:lineRule="auto"/>
        <w:jc w:val="both"/>
        <w:rPr>
          <w:rFonts w:ascii="Bookman Old Style" w:hAnsi="Bookman Old Style"/>
          <w:b/>
          <w:bCs/>
          <w:u w:val="single"/>
        </w:rPr>
      </w:pPr>
      <w:r w:rsidRPr="00F0316C">
        <w:rPr>
          <w:rFonts w:ascii="Bookman Old Style" w:hAnsi="Bookman Old Style"/>
          <w:b/>
          <w:bCs/>
          <w:u w:val="single"/>
        </w:rPr>
        <w:t>Selezioni uniche per la formazione di elenchi di idonei all'assunzione nei ruoli degli Enti locali</w:t>
      </w:r>
      <w:r w:rsidR="007D61FF">
        <w:rPr>
          <w:rFonts w:ascii="Bookman Old Style" w:hAnsi="Bookman Old Style"/>
          <w:b/>
          <w:bCs/>
          <w:u w:val="single"/>
        </w:rPr>
        <w:t xml:space="preserve"> (art. 3-bis)</w:t>
      </w:r>
    </w:p>
    <w:p w:rsidR="008E0541" w:rsidRPr="00634F36" w:rsidRDefault="008E0541" w:rsidP="008E0541">
      <w:pPr>
        <w:spacing w:line="276" w:lineRule="auto"/>
        <w:jc w:val="both"/>
        <w:rPr>
          <w:rFonts w:ascii="Bookman Old Style" w:hAnsi="Bookman Old Style"/>
        </w:rPr>
      </w:pPr>
      <w:r w:rsidRPr="00634F36">
        <w:rPr>
          <w:rFonts w:ascii="Bookman Old Style" w:hAnsi="Bookman Old Style"/>
        </w:rPr>
        <w:t xml:space="preserve">Un’altra novità di rilievo per gli Enti locali riguarda l’introduzione della possibilità di organizzare e gestire in forma aggregata </w:t>
      </w:r>
      <w:r w:rsidRPr="00634F36">
        <w:rPr>
          <w:rFonts w:ascii="Bookman Old Style" w:hAnsi="Bookman Old Style"/>
          <w:b/>
          <w:bCs/>
          <w:u w:val="single"/>
        </w:rPr>
        <w:t>selezioni uniche per la formazione di elenchi di idonei</w:t>
      </w:r>
      <w:r w:rsidRPr="00634F36">
        <w:rPr>
          <w:rFonts w:ascii="Bookman Old Style" w:hAnsi="Bookman Old Style"/>
        </w:rPr>
        <w:t xml:space="preserve"> all'assunzione di personale per qualsiasi livello e profilo professionale, anche di livello dirigenziale, sia a tempo indeterminato sia a tempo determinato, </w:t>
      </w:r>
      <w:r w:rsidRPr="00634F36">
        <w:rPr>
          <w:rFonts w:ascii="Bookman Old Style" w:hAnsi="Bookman Old Style"/>
          <w:u w:val="single"/>
        </w:rPr>
        <w:t>anche in assenza di fabbisogni di personale attuali</w:t>
      </w:r>
      <w:r w:rsidRPr="00634F36">
        <w:rPr>
          <w:rFonts w:ascii="Bookman Old Style" w:hAnsi="Bookman Old Style"/>
        </w:rPr>
        <w:t xml:space="preserve">, in modo da consentire il successivo utilizzo dei predetti elenchi, all’atto della formalizzazione dei fabbisogni di personale, in caso di </w:t>
      </w:r>
      <w:r w:rsidRPr="00634F36">
        <w:rPr>
          <w:rFonts w:ascii="Bookman Old Style" w:hAnsi="Bookman Old Style"/>
          <w:u w:val="single"/>
        </w:rPr>
        <w:t>assenza di graduatorie in corso di validità (che quindi rimangono prioritarie)</w:t>
      </w:r>
      <w:r w:rsidRPr="00634F36">
        <w:rPr>
          <w:rFonts w:ascii="Bookman Old Style" w:hAnsi="Bookman Old Style"/>
        </w:rPr>
        <w:t xml:space="preserve"> per le medesime posizioni.</w:t>
      </w:r>
    </w:p>
    <w:p w:rsidR="001C1E5C" w:rsidRPr="00634F36" w:rsidRDefault="008E0541" w:rsidP="008E0541">
      <w:pPr>
        <w:spacing w:line="276" w:lineRule="auto"/>
        <w:jc w:val="both"/>
        <w:rPr>
          <w:rFonts w:ascii="Bookman Old Style" w:hAnsi="Bookman Old Style"/>
        </w:rPr>
      </w:pPr>
      <w:r w:rsidRPr="00634F36">
        <w:rPr>
          <w:rFonts w:ascii="Bookman Old Style" w:hAnsi="Bookman Old Style"/>
        </w:rPr>
        <w:t xml:space="preserve">Gli enti convenzionati e interessati ad utilizzare l’elenco effettuano un </w:t>
      </w:r>
      <w:r w:rsidRPr="00634F36">
        <w:rPr>
          <w:rFonts w:ascii="Bookman Old Style" w:hAnsi="Bookman Old Style"/>
          <w:u w:val="single"/>
        </w:rPr>
        <w:t>interpello</w:t>
      </w:r>
      <w:r w:rsidRPr="00634F36">
        <w:rPr>
          <w:rFonts w:ascii="Bookman Old Style" w:hAnsi="Bookman Old Style"/>
        </w:rPr>
        <w:t xml:space="preserve"> tra gli iscritti, e in caso di una pluralità di candidature effettuano una </w:t>
      </w:r>
      <w:r w:rsidRPr="00634F36">
        <w:rPr>
          <w:rFonts w:ascii="Bookman Old Style" w:hAnsi="Bookman Old Style"/>
          <w:u w:val="single"/>
        </w:rPr>
        <w:t>prova selettiva con modalità semplificate</w:t>
      </w:r>
      <w:r w:rsidRPr="00634F36">
        <w:rPr>
          <w:rFonts w:ascii="Bookman Old Style" w:hAnsi="Bookman Old Style"/>
        </w:rPr>
        <w:t xml:space="preserve"> per formare una graduatoria di merito da cui attingere per la copertura del posto disponibile.</w:t>
      </w:r>
    </w:p>
    <w:p w:rsidR="008E0541" w:rsidRPr="00634F36" w:rsidRDefault="008E0541" w:rsidP="008E0541">
      <w:pPr>
        <w:spacing w:line="276" w:lineRule="auto"/>
        <w:jc w:val="both"/>
        <w:rPr>
          <w:rFonts w:ascii="Bookman Old Style" w:hAnsi="Bookman Old Style"/>
        </w:rPr>
      </w:pPr>
      <w:r w:rsidRPr="00634F36">
        <w:rPr>
          <w:rFonts w:ascii="Bookman Old Style" w:hAnsi="Bookman Old Style"/>
        </w:rPr>
        <w:t>Si prevede che gli elenchi siano aggiornati con cadenza almeno annuale, e che i soggetti selezionati restano iscritti negli elenchi degli idonei sino alla data della loro assunzione a tempo indeterminato e comunque per un massimo di tre anni.</w:t>
      </w:r>
    </w:p>
    <w:p w:rsidR="008E0541" w:rsidRDefault="008E0541" w:rsidP="008E0541">
      <w:pPr>
        <w:spacing w:line="276" w:lineRule="auto"/>
        <w:jc w:val="both"/>
        <w:rPr>
          <w:rFonts w:ascii="Bookman Old Style" w:hAnsi="Bookman Old Style"/>
        </w:rPr>
      </w:pPr>
      <w:r w:rsidRPr="00634F36">
        <w:rPr>
          <w:rFonts w:ascii="Bookman Old Style" w:hAnsi="Bookman Old Style"/>
        </w:rPr>
        <w:t xml:space="preserve">Infine, nel caso in cui gli elenchi vengano utilizzati per effettuare assunzioni finalizzate a garantire la copertura di posti che si siano resi vacanti per la cessione ad altra amministrazione di propri dipendenti in mobilità, gli enti possono procedere anche </w:t>
      </w:r>
      <w:r w:rsidRPr="00634F36">
        <w:rPr>
          <w:rFonts w:ascii="Bookman Old Style" w:hAnsi="Bookman Old Style"/>
          <w:u w:val="single"/>
        </w:rPr>
        <w:t>senza il previo aggiornamento del piano dei fabbisogni di personale</w:t>
      </w:r>
      <w:r w:rsidRPr="00634F36">
        <w:rPr>
          <w:rFonts w:ascii="Bookman Old Style" w:hAnsi="Bookman Old Style"/>
        </w:rPr>
        <w:t xml:space="preserve">, e, qualora si tratti di assunzione a tempo determinato, anche in </w:t>
      </w:r>
      <w:r w:rsidRPr="00634F36">
        <w:rPr>
          <w:rFonts w:ascii="Bookman Old Style" w:hAnsi="Bookman Old Style"/>
          <w:u w:val="single"/>
        </w:rPr>
        <w:t>deroga ai limiti finanziari alla spesa per il personale con rapporto di lavoro flessibile</w:t>
      </w:r>
      <w:r w:rsidRPr="00634F36">
        <w:rPr>
          <w:rFonts w:ascii="Bookman Old Style" w:hAnsi="Bookman Old Style"/>
        </w:rPr>
        <w:t xml:space="preserve"> (art. 9, comma 28, DL n. 78/2010).</w:t>
      </w:r>
    </w:p>
    <w:p w:rsidR="006A3DCB" w:rsidRPr="00F0316C" w:rsidRDefault="00D83E58" w:rsidP="00F0316C">
      <w:pPr>
        <w:pStyle w:val="Paragrafoelenco"/>
        <w:numPr>
          <w:ilvl w:val="0"/>
          <w:numId w:val="8"/>
        </w:numPr>
        <w:spacing w:line="276" w:lineRule="auto"/>
        <w:jc w:val="both"/>
        <w:rPr>
          <w:rFonts w:ascii="Bookman Old Style" w:hAnsi="Bookman Old Style"/>
          <w:b/>
          <w:bCs/>
          <w:u w:val="single"/>
        </w:rPr>
      </w:pPr>
      <w:r w:rsidRPr="00F0316C">
        <w:rPr>
          <w:rFonts w:ascii="Bookman Old Style" w:hAnsi="Bookman Old Style"/>
          <w:b/>
          <w:bCs/>
          <w:u w:val="single"/>
        </w:rPr>
        <w:t xml:space="preserve">Proroghe dei contratti a tempo determinato </w:t>
      </w:r>
      <w:r w:rsidR="00B96C3E" w:rsidRPr="00F0316C">
        <w:rPr>
          <w:rFonts w:ascii="Bookman Old Style" w:hAnsi="Bookman Old Style"/>
          <w:b/>
          <w:bCs/>
          <w:u w:val="single"/>
        </w:rPr>
        <w:t>nei Comuni siciliani in dissesto e riequilibrio finanziario pluriennale (art. 3, comma 3-quater</w:t>
      </w:r>
      <w:r w:rsidR="001A0992" w:rsidRPr="00F0316C">
        <w:rPr>
          <w:rFonts w:ascii="Bookman Old Style" w:hAnsi="Bookman Old Style"/>
          <w:b/>
          <w:bCs/>
          <w:u w:val="single"/>
        </w:rPr>
        <w:t xml:space="preserve">). </w:t>
      </w:r>
    </w:p>
    <w:p w:rsidR="00D12CE6" w:rsidRDefault="00623FC6" w:rsidP="00D12CE6">
      <w:pPr>
        <w:spacing w:line="276" w:lineRule="auto"/>
        <w:jc w:val="both"/>
        <w:rPr>
          <w:rFonts w:ascii="Bookman Old Style" w:hAnsi="Bookman Old Style"/>
        </w:rPr>
      </w:pPr>
      <w:r w:rsidRPr="00623FC6">
        <w:rPr>
          <w:rFonts w:ascii="Bookman Old Style" w:hAnsi="Bookman Old Style"/>
        </w:rPr>
        <w:t>Al fine di consentire il superamento del precariato e  la</w:t>
      </w:r>
      <w:r>
        <w:rPr>
          <w:rFonts w:ascii="Bookman Old Style" w:hAnsi="Bookman Old Style"/>
        </w:rPr>
        <w:t xml:space="preserve"> </w:t>
      </w:r>
      <w:r w:rsidRPr="00623FC6">
        <w:rPr>
          <w:rFonts w:ascii="Bookman Old Style" w:hAnsi="Bookman Old Style"/>
        </w:rPr>
        <w:t>salvaguardia dei livelli occupazionali, gli enti locali della Regione</w:t>
      </w:r>
      <w:r>
        <w:rPr>
          <w:rFonts w:ascii="Bookman Old Style" w:hAnsi="Bookman Old Style"/>
        </w:rPr>
        <w:t xml:space="preserve"> </w:t>
      </w:r>
      <w:r w:rsidRPr="00623FC6">
        <w:rPr>
          <w:rFonts w:ascii="Bookman Old Style" w:hAnsi="Bookman Old Style"/>
        </w:rPr>
        <w:t>Siciliana che hanno dichiarato dissesto finanziario  o che hanno fatto ricorso al piano di  riequilibrio  finanziario</w:t>
      </w:r>
      <w:r>
        <w:rPr>
          <w:rFonts w:ascii="Bookman Old Style" w:hAnsi="Bookman Old Style"/>
        </w:rPr>
        <w:t xml:space="preserve"> </w:t>
      </w:r>
      <w:r w:rsidRPr="00623FC6">
        <w:rPr>
          <w:rFonts w:ascii="Bookman Old Style" w:hAnsi="Bookman Old Style"/>
        </w:rPr>
        <w:t>pluriennale con contestuale accesso al fondo di  rotazione,  sono  autorizzati  a</w:t>
      </w:r>
      <w:r>
        <w:rPr>
          <w:rFonts w:ascii="Bookman Old Style" w:hAnsi="Bookman Old Style"/>
        </w:rPr>
        <w:t xml:space="preserve"> </w:t>
      </w:r>
      <w:r w:rsidRPr="00623FC6">
        <w:rPr>
          <w:rFonts w:ascii="Bookman Old Style" w:hAnsi="Bookman Old Style"/>
        </w:rPr>
        <w:t>prorogare, fino al 31 dicembre 2022, i contratti di  lavoro  a  tempo</w:t>
      </w:r>
      <w:r>
        <w:rPr>
          <w:rFonts w:ascii="Bookman Old Style" w:hAnsi="Bookman Old Style"/>
        </w:rPr>
        <w:t xml:space="preserve"> </w:t>
      </w:r>
      <w:r w:rsidRPr="00623FC6">
        <w:rPr>
          <w:rFonts w:ascii="Bookman Old Style" w:hAnsi="Bookman Old Style"/>
        </w:rPr>
        <w:t xml:space="preserve">determinato </w:t>
      </w:r>
      <w:r w:rsidR="00D12CE6" w:rsidRPr="00623FC6">
        <w:rPr>
          <w:rFonts w:ascii="Bookman Old Style" w:hAnsi="Bookman Old Style"/>
        </w:rPr>
        <w:t>già</w:t>
      </w:r>
      <w:r w:rsidRPr="00623FC6">
        <w:rPr>
          <w:rFonts w:ascii="Bookman Old Style" w:hAnsi="Bookman Old Style"/>
        </w:rPr>
        <w:t xml:space="preserve"> in essere alla data di entrata in vigore della legge</w:t>
      </w:r>
      <w:r>
        <w:rPr>
          <w:rFonts w:ascii="Bookman Old Style" w:hAnsi="Bookman Old Style"/>
        </w:rPr>
        <w:t xml:space="preserve"> </w:t>
      </w:r>
      <w:r w:rsidRPr="00623FC6">
        <w:rPr>
          <w:rFonts w:ascii="Bookman Old Style" w:hAnsi="Bookman Old Style"/>
        </w:rPr>
        <w:t>di conversione</w:t>
      </w:r>
      <w:r w:rsidR="00E51C5E">
        <w:rPr>
          <w:rFonts w:ascii="Bookman Old Style" w:hAnsi="Bookman Old Style"/>
        </w:rPr>
        <w:t>,</w:t>
      </w:r>
      <w:r w:rsidRPr="00623FC6">
        <w:rPr>
          <w:rFonts w:ascii="Bookman Old Style" w:hAnsi="Bookman Old Style"/>
        </w:rPr>
        <w:t xml:space="preserve"> in  deroga  a  quanto  previsto</w:t>
      </w:r>
      <w:r>
        <w:rPr>
          <w:rFonts w:ascii="Bookman Old Style" w:hAnsi="Bookman Old Style"/>
        </w:rPr>
        <w:t xml:space="preserve"> </w:t>
      </w:r>
      <w:r w:rsidRPr="00623FC6">
        <w:rPr>
          <w:rFonts w:ascii="Bookman Old Style" w:hAnsi="Bookman Old Style"/>
        </w:rPr>
        <w:t xml:space="preserve">dall'art. 259, comma 6, del </w:t>
      </w:r>
      <w:r w:rsidR="00E51C5E">
        <w:rPr>
          <w:rFonts w:ascii="Bookman Old Style" w:hAnsi="Bookman Old Style"/>
        </w:rPr>
        <w:t>TUEL</w:t>
      </w:r>
      <w:r w:rsidRPr="00623FC6">
        <w:rPr>
          <w:rFonts w:ascii="Bookman Old Style" w:hAnsi="Bookman Old Style"/>
        </w:rPr>
        <w:t>.</w:t>
      </w:r>
    </w:p>
    <w:p w:rsidR="00D12CE6" w:rsidRPr="00F0316C" w:rsidRDefault="00E7349A" w:rsidP="00F0316C">
      <w:pPr>
        <w:pStyle w:val="Paragrafoelenco"/>
        <w:numPr>
          <w:ilvl w:val="0"/>
          <w:numId w:val="8"/>
        </w:numPr>
        <w:spacing w:line="276" w:lineRule="auto"/>
        <w:jc w:val="both"/>
        <w:rPr>
          <w:rFonts w:ascii="Bookman Old Style" w:hAnsi="Bookman Old Style"/>
          <w:b/>
          <w:bCs/>
          <w:u w:val="single"/>
        </w:rPr>
      </w:pPr>
      <w:r w:rsidRPr="00F0316C">
        <w:rPr>
          <w:rFonts w:ascii="Bookman Old Style" w:hAnsi="Bookman Old Style"/>
          <w:b/>
          <w:bCs/>
          <w:u w:val="single"/>
        </w:rPr>
        <w:t>Misure per i candidati con DSA nei concorsi pubblici</w:t>
      </w:r>
      <w:r w:rsidR="000371BD">
        <w:rPr>
          <w:rFonts w:ascii="Bookman Old Style" w:hAnsi="Bookman Old Style"/>
          <w:b/>
          <w:bCs/>
          <w:u w:val="single"/>
        </w:rPr>
        <w:t xml:space="preserve"> (art. 3, comma 4-bis)</w:t>
      </w:r>
    </w:p>
    <w:p w:rsidR="00E7349A" w:rsidRDefault="000371BD" w:rsidP="00E62C29">
      <w:pPr>
        <w:spacing w:line="276" w:lineRule="auto"/>
        <w:jc w:val="both"/>
        <w:rPr>
          <w:rFonts w:ascii="Bookman Old Style" w:hAnsi="Bookman Old Style"/>
        </w:rPr>
      </w:pPr>
      <w:r w:rsidRPr="000371BD">
        <w:rPr>
          <w:rFonts w:ascii="Bookman Old Style" w:hAnsi="Bookman Old Style"/>
        </w:rPr>
        <w:t>Nelle prove scritte dei concorsi pubblici indetti da  Stato,</w:t>
      </w:r>
      <w:r>
        <w:rPr>
          <w:rFonts w:ascii="Bookman Old Style" w:hAnsi="Bookman Old Style"/>
        </w:rPr>
        <w:t xml:space="preserve"> </w:t>
      </w:r>
      <w:r w:rsidRPr="000371BD">
        <w:rPr>
          <w:rFonts w:ascii="Bookman Old Style" w:hAnsi="Bookman Old Style"/>
        </w:rPr>
        <w:t>regioni, comuni e dai loro enti strumentali, a tutti i  soggetti  con</w:t>
      </w:r>
      <w:r>
        <w:rPr>
          <w:rFonts w:ascii="Bookman Old Style" w:hAnsi="Bookman Old Style"/>
        </w:rPr>
        <w:t xml:space="preserve"> </w:t>
      </w:r>
      <w:r w:rsidRPr="000371BD">
        <w:rPr>
          <w:rFonts w:ascii="Bookman Old Style" w:hAnsi="Bookman Old Style"/>
        </w:rPr>
        <w:t>disturbi  specifici  di  apprendimento   (DSA)   e'   assicurata   la</w:t>
      </w:r>
      <w:r w:rsidR="00C035D5">
        <w:rPr>
          <w:rFonts w:ascii="Bookman Old Style" w:hAnsi="Bookman Old Style"/>
        </w:rPr>
        <w:t xml:space="preserve"> </w:t>
      </w:r>
      <w:r w:rsidR="00C035D5" w:rsidRPr="000371BD">
        <w:rPr>
          <w:rFonts w:ascii="Bookman Old Style" w:hAnsi="Bookman Old Style"/>
        </w:rPr>
        <w:t>possibilità</w:t>
      </w:r>
      <w:r w:rsidRPr="000371BD">
        <w:rPr>
          <w:rFonts w:ascii="Bookman Old Style" w:hAnsi="Bookman Old Style"/>
        </w:rPr>
        <w:t xml:space="preserve"> di sostituire tali prove con un  colloquio  orale  o  di</w:t>
      </w:r>
      <w:r w:rsidR="00C035D5">
        <w:rPr>
          <w:rFonts w:ascii="Bookman Old Style" w:hAnsi="Bookman Old Style"/>
        </w:rPr>
        <w:t xml:space="preserve"> </w:t>
      </w:r>
      <w:r w:rsidRPr="000371BD">
        <w:rPr>
          <w:rFonts w:ascii="Bookman Old Style" w:hAnsi="Bookman Old Style"/>
        </w:rPr>
        <w:t xml:space="preserve">utilizzare strumenti compensativi per le </w:t>
      </w:r>
      <w:r w:rsidR="00C035D5" w:rsidRPr="000371BD">
        <w:rPr>
          <w:rFonts w:ascii="Bookman Old Style" w:hAnsi="Bookman Old Style"/>
        </w:rPr>
        <w:t>difficoltà</w:t>
      </w:r>
      <w:r w:rsidRPr="000371BD">
        <w:rPr>
          <w:rFonts w:ascii="Bookman Old Style" w:hAnsi="Bookman Old Style"/>
        </w:rPr>
        <w:t xml:space="preserve"> di  lettura,  di</w:t>
      </w:r>
      <w:r w:rsidR="00C035D5">
        <w:rPr>
          <w:rFonts w:ascii="Bookman Old Style" w:hAnsi="Bookman Old Style"/>
        </w:rPr>
        <w:t xml:space="preserve"> </w:t>
      </w:r>
      <w:r w:rsidRPr="000371BD">
        <w:rPr>
          <w:rFonts w:ascii="Bookman Old Style" w:hAnsi="Bookman Old Style"/>
        </w:rPr>
        <w:t xml:space="preserve">scrittura e di calcolo, </w:t>
      </w:r>
      <w:r w:rsidR="00C035D5" w:rsidRPr="000371BD">
        <w:rPr>
          <w:rFonts w:ascii="Bookman Old Style" w:hAnsi="Bookman Old Style"/>
        </w:rPr>
        <w:t>nonché</w:t>
      </w:r>
      <w:r w:rsidRPr="000371BD">
        <w:rPr>
          <w:rFonts w:ascii="Bookman Old Style" w:hAnsi="Bookman Old Style"/>
        </w:rPr>
        <w:t>' di usufruire di un prolungamento  dei</w:t>
      </w:r>
      <w:r w:rsidR="00C035D5">
        <w:rPr>
          <w:rFonts w:ascii="Bookman Old Style" w:hAnsi="Bookman Old Style"/>
        </w:rPr>
        <w:t xml:space="preserve"> </w:t>
      </w:r>
      <w:r w:rsidRPr="000371BD">
        <w:rPr>
          <w:rFonts w:ascii="Bookman Old Style" w:hAnsi="Bookman Old Style"/>
        </w:rPr>
        <w:t>tempi stabiliti per lo svolgimento delle medesime prove.  Tali  misure  devono  essere  esplicitamente</w:t>
      </w:r>
      <w:r w:rsidR="00E62C29">
        <w:rPr>
          <w:rFonts w:ascii="Bookman Old Style" w:hAnsi="Bookman Old Style"/>
        </w:rPr>
        <w:t xml:space="preserve"> </w:t>
      </w:r>
      <w:r w:rsidRPr="000371BD">
        <w:rPr>
          <w:rFonts w:ascii="Bookman Old Style" w:hAnsi="Bookman Old Style"/>
        </w:rPr>
        <w:t>previste nei relativi bandi di concors</w:t>
      </w:r>
      <w:r w:rsidR="00E62C29">
        <w:rPr>
          <w:rFonts w:ascii="Bookman Old Style" w:hAnsi="Bookman Old Style"/>
        </w:rPr>
        <w:t>o e la loro</w:t>
      </w:r>
      <w:r w:rsidRPr="000371BD">
        <w:rPr>
          <w:rFonts w:ascii="Bookman Old Style" w:hAnsi="Bookman Old Style"/>
        </w:rPr>
        <w:t xml:space="preserve">  mancata  adozione  comporta  la  </w:t>
      </w:r>
      <w:r w:rsidR="00E62C29" w:rsidRPr="000371BD">
        <w:rPr>
          <w:rFonts w:ascii="Bookman Old Style" w:hAnsi="Bookman Old Style"/>
        </w:rPr>
        <w:t>nullità</w:t>
      </w:r>
      <w:r w:rsidRPr="000371BD">
        <w:rPr>
          <w:rFonts w:ascii="Bookman Old Style" w:hAnsi="Bookman Old Style"/>
        </w:rPr>
        <w:t xml:space="preserve">  dei  concorsi</w:t>
      </w:r>
      <w:r w:rsidR="00E62C29">
        <w:rPr>
          <w:rFonts w:ascii="Bookman Old Style" w:hAnsi="Bookman Old Style"/>
        </w:rPr>
        <w:t xml:space="preserve"> </w:t>
      </w:r>
      <w:r w:rsidRPr="000371BD">
        <w:rPr>
          <w:rFonts w:ascii="Bookman Old Style" w:hAnsi="Bookman Old Style"/>
        </w:rPr>
        <w:t xml:space="preserve">pubblici. </w:t>
      </w:r>
      <w:r w:rsidR="00E62C29">
        <w:rPr>
          <w:rFonts w:ascii="Bookman Old Style" w:hAnsi="Bookman Old Style"/>
        </w:rPr>
        <w:t>Le modalità attuative di questa previsione sono definite c</w:t>
      </w:r>
      <w:r w:rsidRPr="000371BD">
        <w:rPr>
          <w:rFonts w:ascii="Bookman Old Style" w:hAnsi="Bookman Old Style"/>
        </w:rPr>
        <w:t>on decreto del Ministro per la  pubblica  amministrazione,</w:t>
      </w:r>
      <w:r w:rsidR="00E62C29">
        <w:rPr>
          <w:rFonts w:ascii="Bookman Old Style" w:hAnsi="Bookman Old Style"/>
        </w:rPr>
        <w:t xml:space="preserve"> </w:t>
      </w:r>
      <w:r w:rsidRPr="000371BD">
        <w:rPr>
          <w:rFonts w:ascii="Bookman Old Style" w:hAnsi="Bookman Old Style"/>
        </w:rPr>
        <w:t>di concerto con il Ministro del lavoro  e  delle  politiche  sociali</w:t>
      </w:r>
      <w:r w:rsidR="00E62C29">
        <w:rPr>
          <w:rFonts w:ascii="Bookman Old Style" w:hAnsi="Bookman Old Style"/>
        </w:rPr>
        <w:t>.</w:t>
      </w:r>
    </w:p>
    <w:p w:rsidR="00E7349A" w:rsidRPr="00F0316C" w:rsidRDefault="00E7349A" w:rsidP="00D12CE6">
      <w:pPr>
        <w:spacing w:line="276" w:lineRule="auto"/>
        <w:jc w:val="both"/>
        <w:rPr>
          <w:rFonts w:ascii="Bookman Old Style" w:hAnsi="Bookman Old Style"/>
        </w:rPr>
      </w:pPr>
    </w:p>
    <w:p w:rsidR="000E10A2" w:rsidRPr="00634F36" w:rsidRDefault="000E10A2" w:rsidP="000E10A2">
      <w:pPr>
        <w:spacing w:line="276" w:lineRule="auto"/>
        <w:jc w:val="both"/>
        <w:rPr>
          <w:rFonts w:ascii="Bookman Old Style" w:hAnsi="Bookman Old Style"/>
        </w:rPr>
      </w:pPr>
    </w:p>
    <w:sectPr w:rsidR="000E10A2" w:rsidRPr="00634F3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A4" w:rsidRDefault="004D2CA4" w:rsidP="00F0316C">
      <w:pPr>
        <w:spacing w:after="0" w:line="240" w:lineRule="auto"/>
      </w:pPr>
      <w:r>
        <w:separator/>
      </w:r>
    </w:p>
  </w:endnote>
  <w:endnote w:type="continuationSeparator" w:id="0">
    <w:p w:rsidR="004D2CA4" w:rsidRDefault="004D2CA4" w:rsidP="00F0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55016"/>
      <w:docPartObj>
        <w:docPartGallery w:val="Page Numbers (Bottom of Page)"/>
        <w:docPartUnique/>
      </w:docPartObj>
    </w:sdtPr>
    <w:sdtEndPr/>
    <w:sdtContent>
      <w:p w:rsidR="00F0316C" w:rsidRDefault="00F0316C">
        <w:pPr>
          <w:pStyle w:val="Pidipagina"/>
          <w:jc w:val="right"/>
        </w:pPr>
        <w:r>
          <w:fldChar w:fldCharType="begin"/>
        </w:r>
        <w:r>
          <w:instrText>PAGE   \* MERGEFORMAT</w:instrText>
        </w:r>
        <w:r>
          <w:fldChar w:fldCharType="separate"/>
        </w:r>
        <w:r w:rsidR="00D84A37">
          <w:rPr>
            <w:noProof/>
          </w:rPr>
          <w:t>1</w:t>
        </w:r>
        <w:r>
          <w:fldChar w:fldCharType="end"/>
        </w:r>
      </w:p>
    </w:sdtContent>
  </w:sdt>
  <w:p w:rsidR="00F0316C" w:rsidRDefault="00F031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A4" w:rsidRDefault="004D2CA4" w:rsidP="00F0316C">
      <w:pPr>
        <w:spacing w:after="0" w:line="240" w:lineRule="auto"/>
      </w:pPr>
      <w:r>
        <w:separator/>
      </w:r>
    </w:p>
  </w:footnote>
  <w:footnote w:type="continuationSeparator" w:id="0">
    <w:p w:rsidR="004D2CA4" w:rsidRDefault="004D2CA4" w:rsidP="00F03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521E"/>
    <w:multiLevelType w:val="multilevel"/>
    <w:tmpl w:val="3E04696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A4A3515"/>
    <w:multiLevelType w:val="hybridMultilevel"/>
    <w:tmpl w:val="DAE4EC14"/>
    <w:lvl w:ilvl="0" w:tplc="4E7A122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0450D07"/>
    <w:multiLevelType w:val="hybridMultilevel"/>
    <w:tmpl w:val="1CDEFB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42237C"/>
    <w:multiLevelType w:val="hybridMultilevel"/>
    <w:tmpl w:val="2DB83C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C9656B"/>
    <w:multiLevelType w:val="hybridMultilevel"/>
    <w:tmpl w:val="ED80C9DA"/>
    <w:lvl w:ilvl="0" w:tplc="5A72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C7034E"/>
    <w:multiLevelType w:val="hybridMultilevel"/>
    <w:tmpl w:val="2AA8CA74"/>
    <w:lvl w:ilvl="0" w:tplc="1BFCF4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04F4DFA"/>
    <w:multiLevelType w:val="multilevel"/>
    <w:tmpl w:val="3E04696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7D015A76"/>
    <w:multiLevelType w:val="hybridMultilevel"/>
    <w:tmpl w:val="9AFAD3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85"/>
    <w:rsid w:val="000039F6"/>
    <w:rsid w:val="0001037F"/>
    <w:rsid w:val="00013003"/>
    <w:rsid w:val="000131A7"/>
    <w:rsid w:val="00014CC6"/>
    <w:rsid w:val="00016434"/>
    <w:rsid w:val="00020B16"/>
    <w:rsid w:val="000215C7"/>
    <w:rsid w:val="000317D4"/>
    <w:rsid w:val="000325FA"/>
    <w:rsid w:val="00032C4D"/>
    <w:rsid w:val="00036622"/>
    <w:rsid w:val="000371BD"/>
    <w:rsid w:val="00045992"/>
    <w:rsid w:val="00047EC9"/>
    <w:rsid w:val="00050445"/>
    <w:rsid w:val="00050A8F"/>
    <w:rsid w:val="000639DE"/>
    <w:rsid w:val="000660D4"/>
    <w:rsid w:val="000714BC"/>
    <w:rsid w:val="000802D5"/>
    <w:rsid w:val="00082BB0"/>
    <w:rsid w:val="00096E2D"/>
    <w:rsid w:val="000A0DBB"/>
    <w:rsid w:val="000A38FB"/>
    <w:rsid w:val="000A50C5"/>
    <w:rsid w:val="000A53E7"/>
    <w:rsid w:val="000B0B7A"/>
    <w:rsid w:val="000B40CC"/>
    <w:rsid w:val="000C0729"/>
    <w:rsid w:val="000C0870"/>
    <w:rsid w:val="000D20F0"/>
    <w:rsid w:val="000D4F1C"/>
    <w:rsid w:val="000D5891"/>
    <w:rsid w:val="000E10A2"/>
    <w:rsid w:val="001066F4"/>
    <w:rsid w:val="0010694F"/>
    <w:rsid w:val="00114011"/>
    <w:rsid w:val="001162AD"/>
    <w:rsid w:val="00116729"/>
    <w:rsid w:val="00121126"/>
    <w:rsid w:val="00133EF7"/>
    <w:rsid w:val="00146AF1"/>
    <w:rsid w:val="0016462B"/>
    <w:rsid w:val="001649D6"/>
    <w:rsid w:val="001738F2"/>
    <w:rsid w:val="001764B6"/>
    <w:rsid w:val="001815F6"/>
    <w:rsid w:val="00182526"/>
    <w:rsid w:val="00187F2F"/>
    <w:rsid w:val="001A0992"/>
    <w:rsid w:val="001A241E"/>
    <w:rsid w:val="001A28EB"/>
    <w:rsid w:val="001B7A3B"/>
    <w:rsid w:val="001C1E5C"/>
    <w:rsid w:val="001C39E7"/>
    <w:rsid w:val="001D162F"/>
    <w:rsid w:val="001D47C4"/>
    <w:rsid w:val="001D6EEA"/>
    <w:rsid w:val="001E2CFE"/>
    <w:rsid w:val="001F7608"/>
    <w:rsid w:val="0020740C"/>
    <w:rsid w:val="00215BD0"/>
    <w:rsid w:val="002217A2"/>
    <w:rsid w:val="00221EF8"/>
    <w:rsid w:val="002330C3"/>
    <w:rsid w:val="00235E7D"/>
    <w:rsid w:val="00245E7A"/>
    <w:rsid w:val="0026130D"/>
    <w:rsid w:val="00262B8C"/>
    <w:rsid w:val="00270ACF"/>
    <w:rsid w:val="00270C0D"/>
    <w:rsid w:val="0027347E"/>
    <w:rsid w:val="00274FD1"/>
    <w:rsid w:val="00282392"/>
    <w:rsid w:val="00282AAD"/>
    <w:rsid w:val="00284039"/>
    <w:rsid w:val="002900E7"/>
    <w:rsid w:val="00294F9D"/>
    <w:rsid w:val="00297F07"/>
    <w:rsid w:val="002A19AF"/>
    <w:rsid w:val="002B1179"/>
    <w:rsid w:val="002B3006"/>
    <w:rsid w:val="002B73B6"/>
    <w:rsid w:val="002C5D23"/>
    <w:rsid w:val="002C694D"/>
    <w:rsid w:val="002D012F"/>
    <w:rsid w:val="002D5587"/>
    <w:rsid w:val="002D63F5"/>
    <w:rsid w:val="002E3B19"/>
    <w:rsid w:val="002F20CE"/>
    <w:rsid w:val="002F41BF"/>
    <w:rsid w:val="002F680B"/>
    <w:rsid w:val="00300F0D"/>
    <w:rsid w:val="00301EC5"/>
    <w:rsid w:val="00304847"/>
    <w:rsid w:val="00305005"/>
    <w:rsid w:val="00305D49"/>
    <w:rsid w:val="00306D2D"/>
    <w:rsid w:val="0031177F"/>
    <w:rsid w:val="00311811"/>
    <w:rsid w:val="00313EC6"/>
    <w:rsid w:val="0031614B"/>
    <w:rsid w:val="00320183"/>
    <w:rsid w:val="00321F29"/>
    <w:rsid w:val="00325B9D"/>
    <w:rsid w:val="003272F0"/>
    <w:rsid w:val="00333FC9"/>
    <w:rsid w:val="00341D5A"/>
    <w:rsid w:val="003422E3"/>
    <w:rsid w:val="00343E96"/>
    <w:rsid w:val="003443B7"/>
    <w:rsid w:val="00346526"/>
    <w:rsid w:val="0034658B"/>
    <w:rsid w:val="003501AF"/>
    <w:rsid w:val="00352F5F"/>
    <w:rsid w:val="00362131"/>
    <w:rsid w:val="00371F89"/>
    <w:rsid w:val="00373B05"/>
    <w:rsid w:val="00375526"/>
    <w:rsid w:val="003775A4"/>
    <w:rsid w:val="00397731"/>
    <w:rsid w:val="00397E4A"/>
    <w:rsid w:val="003A5B2F"/>
    <w:rsid w:val="003B5EE5"/>
    <w:rsid w:val="003C0BDF"/>
    <w:rsid w:val="003C42E8"/>
    <w:rsid w:val="003D4461"/>
    <w:rsid w:val="003D5EED"/>
    <w:rsid w:val="003E2179"/>
    <w:rsid w:val="003E2AC3"/>
    <w:rsid w:val="003E5005"/>
    <w:rsid w:val="003F0FD4"/>
    <w:rsid w:val="003F3C62"/>
    <w:rsid w:val="00404DC5"/>
    <w:rsid w:val="004167F5"/>
    <w:rsid w:val="004301C2"/>
    <w:rsid w:val="00433EDB"/>
    <w:rsid w:val="00440019"/>
    <w:rsid w:val="00444D1B"/>
    <w:rsid w:val="00447A37"/>
    <w:rsid w:val="00450761"/>
    <w:rsid w:val="00461064"/>
    <w:rsid w:val="004641D3"/>
    <w:rsid w:val="0046538C"/>
    <w:rsid w:val="0047470F"/>
    <w:rsid w:val="004841A2"/>
    <w:rsid w:val="00487088"/>
    <w:rsid w:val="0049086B"/>
    <w:rsid w:val="004923AA"/>
    <w:rsid w:val="0049561C"/>
    <w:rsid w:val="004A2107"/>
    <w:rsid w:val="004B6BEC"/>
    <w:rsid w:val="004D0493"/>
    <w:rsid w:val="004D2CA4"/>
    <w:rsid w:val="00500FFC"/>
    <w:rsid w:val="00512EB1"/>
    <w:rsid w:val="00512FC1"/>
    <w:rsid w:val="005148C1"/>
    <w:rsid w:val="00522A6F"/>
    <w:rsid w:val="0052667C"/>
    <w:rsid w:val="00526E12"/>
    <w:rsid w:val="005305A2"/>
    <w:rsid w:val="005323A0"/>
    <w:rsid w:val="0053642F"/>
    <w:rsid w:val="00555E87"/>
    <w:rsid w:val="0056352A"/>
    <w:rsid w:val="00565238"/>
    <w:rsid w:val="005767B3"/>
    <w:rsid w:val="00583AB9"/>
    <w:rsid w:val="0058721C"/>
    <w:rsid w:val="005878BE"/>
    <w:rsid w:val="005924CA"/>
    <w:rsid w:val="00594B5C"/>
    <w:rsid w:val="0059659A"/>
    <w:rsid w:val="005978FA"/>
    <w:rsid w:val="005A401B"/>
    <w:rsid w:val="005B0622"/>
    <w:rsid w:val="005B69CA"/>
    <w:rsid w:val="005E1388"/>
    <w:rsid w:val="005E7555"/>
    <w:rsid w:val="005F0903"/>
    <w:rsid w:val="005F5B2A"/>
    <w:rsid w:val="005F6D96"/>
    <w:rsid w:val="00601A12"/>
    <w:rsid w:val="00605BD8"/>
    <w:rsid w:val="00610E78"/>
    <w:rsid w:val="00612771"/>
    <w:rsid w:val="006156FC"/>
    <w:rsid w:val="00620A5E"/>
    <w:rsid w:val="00621A8E"/>
    <w:rsid w:val="00623FC6"/>
    <w:rsid w:val="00631EDE"/>
    <w:rsid w:val="00634F36"/>
    <w:rsid w:val="006350C2"/>
    <w:rsid w:val="006355E9"/>
    <w:rsid w:val="00645F23"/>
    <w:rsid w:val="00646BD1"/>
    <w:rsid w:val="006476EB"/>
    <w:rsid w:val="006534FF"/>
    <w:rsid w:val="00663832"/>
    <w:rsid w:val="0066390E"/>
    <w:rsid w:val="00664886"/>
    <w:rsid w:val="006667F2"/>
    <w:rsid w:val="00667CDD"/>
    <w:rsid w:val="0067614D"/>
    <w:rsid w:val="00677DAF"/>
    <w:rsid w:val="006963A7"/>
    <w:rsid w:val="00697E7F"/>
    <w:rsid w:val="006A1C1A"/>
    <w:rsid w:val="006A3DCB"/>
    <w:rsid w:val="006B1C7B"/>
    <w:rsid w:val="006B208D"/>
    <w:rsid w:val="006B5829"/>
    <w:rsid w:val="007042B6"/>
    <w:rsid w:val="00717EAE"/>
    <w:rsid w:val="00720E79"/>
    <w:rsid w:val="00724283"/>
    <w:rsid w:val="00724C10"/>
    <w:rsid w:val="00734A68"/>
    <w:rsid w:val="007363E8"/>
    <w:rsid w:val="00741C22"/>
    <w:rsid w:val="007446FE"/>
    <w:rsid w:val="00747D42"/>
    <w:rsid w:val="00756C86"/>
    <w:rsid w:val="00757D62"/>
    <w:rsid w:val="00760C17"/>
    <w:rsid w:val="00770BE3"/>
    <w:rsid w:val="00777BCD"/>
    <w:rsid w:val="0079128D"/>
    <w:rsid w:val="007A567A"/>
    <w:rsid w:val="007A675E"/>
    <w:rsid w:val="007B371E"/>
    <w:rsid w:val="007B73DD"/>
    <w:rsid w:val="007C5E74"/>
    <w:rsid w:val="007D1322"/>
    <w:rsid w:val="007D3BB8"/>
    <w:rsid w:val="007D549D"/>
    <w:rsid w:val="007D61FF"/>
    <w:rsid w:val="007E2678"/>
    <w:rsid w:val="007E54B9"/>
    <w:rsid w:val="007E7266"/>
    <w:rsid w:val="007F0060"/>
    <w:rsid w:val="007F79A5"/>
    <w:rsid w:val="008002A8"/>
    <w:rsid w:val="00807C09"/>
    <w:rsid w:val="00814ED8"/>
    <w:rsid w:val="00822C52"/>
    <w:rsid w:val="00822F65"/>
    <w:rsid w:val="00831FB0"/>
    <w:rsid w:val="00834B18"/>
    <w:rsid w:val="00855FBC"/>
    <w:rsid w:val="00860ED9"/>
    <w:rsid w:val="008616F3"/>
    <w:rsid w:val="00876755"/>
    <w:rsid w:val="008816ED"/>
    <w:rsid w:val="00892143"/>
    <w:rsid w:val="0089626E"/>
    <w:rsid w:val="008A36D4"/>
    <w:rsid w:val="008A545B"/>
    <w:rsid w:val="008A7758"/>
    <w:rsid w:val="008B4DF8"/>
    <w:rsid w:val="008C7115"/>
    <w:rsid w:val="008D0427"/>
    <w:rsid w:val="008D1179"/>
    <w:rsid w:val="008D63EF"/>
    <w:rsid w:val="008D700B"/>
    <w:rsid w:val="008E0541"/>
    <w:rsid w:val="008E3636"/>
    <w:rsid w:val="008F2389"/>
    <w:rsid w:val="00903C78"/>
    <w:rsid w:val="00914538"/>
    <w:rsid w:val="00920A8A"/>
    <w:rsid w:val="00923FC3"/>
    <w:rsid w:val="00924EBF"/>
    <w:rsid w:val="00952518"/>
    <w:rsid w:val="00956BB3"/>
    <w:rsid w:val="00957A96"/>
    <w:rsid w:val="00985676"/>
    <w:rsid w:val="00987514"/>
    <w:rsid w:val="00991C3F"/>
    <w:rsid w:val="009A0F2F"/>
    <w:rsid w:val="009A2597"/>
    <w:rsid w:val="009A48B9"/>
    <w:rsid w:val="009A6F31"/>
    <w:rsid w:val="009B60BE"/>
    <w:rsid w:val="009B7EBA"/>
    <w:rsid w:val="009C0E72"/>
    <w:rsid w:val="009D288C"/>
    <w:rsid w:val="009D75EF"/>
    <w:rsid w:val="009D79FF"/>
    <w:rsid w:val="009E0A96"/>
    <w:rsid w:val="009E31F8"/>
    <w:rsid w:val="009E3FDA"/>
    <w:rsid w:val="009E6D52"/>
    <w:rsid w:val="009F137B"/>
    <w:rsid w:val="009F13D6"/>
    <w:rsid w:val="00A1206C"/>
    <w:rsid w:val="00A12523"/>
    <w:rsid w:val="00A15DCE"/>
    <w:rsid w:val="00A20D8B"/>
    <w:rsid w:val="00A21416"/>
    <w:rsid w:val="00A21A01"/>
    <w:rsid w:val="00A40516"/>
    <w:rsid w:val="00A44350"/>
    <w:rsid w:val="00A46D74"/>
    <w:rsid w:val="00A508C8"/>
    <w:rsid w:val="00A662DE"/>
    <w:rsid w:val="00A74927"/>
    <w:rsid w:val="00A7660E"/>
    <w:rsid w:val="00A81A97"/>
    <w:rsid w:val="00A959D6"/>
    <w:rsid w:val="00AB0A35"/>
    <w:rsid w:val="00AB2B38"/>
    <w:rsid w:val="00AB65ED"/>
    <w:rsid w:val="00AB6C54"/>
    <w:rsid w:val="00AD727B"/>
    <w:rsid w:val="00AE0406"/>
    <w:rsid w:val="00AE30A8"/>
    <w:rsid w:val="00AE4F1A"/>
    <w:rsid w:val="00AF2812"/>
    <w:rsid w:val="00B045ED"/>
    <w:rsid w:val="00B052A7"/>
    <w:rsid w:val="00B114BC"/>
    <w:rsid w:val="00B1370E"/>
    <w:rsid w:val="00B139FF"/>
    <w:rsid w:val="00B20FD2"/>
    <w:rsid w:val="00B2479C"/>
    <w:rsid w:val="00B249CD"/>
    <w:rsid w:val="00B33C4B"/>
    <w:rsid w:val="00B428A0"/>
    <w:rsid w:val="00B46805"/>
    <w:rsid w:val="00B47F63"/>
    <w:rsid w:val="00B51678"/>
    <w:rsid w:val="00B57A3C"/>
    <w:rsid w:val="00B634D8"/>
    <w:rsid w:val="00B64985"/>
    <w:rsid w:val="00B70373"/>
    <w:rsid w:val="00B73465"/>
    <w:rsid w:val="00B739AD"/>
    <w:rsid w:val="00B73A2A"/>
    <w:rsid w:val="00B80FDC"/>
    <w:rsid w:val="00B82939"/>
    <w:rsid w:val="00B84683"/>
    <w:rsid w:val="00B92409"/>
    <w:rsid w:val="00B96C3E"/>
    <w:rsid w:val="00BA3DBD"/>
    <w:rsid w:val="00BB0C49"/>
    <w:rsid w:val="00BB1FA1"/>
    <w:rsid w:val="00BC044A"/>
    <w:rsid w:val="00BC2A6C"/>
    <w:rsid w:val="00BC5E85"/>
    <w:rsid w:val="00BC6A88"/>
    <w:rsid w:val="00BD1843"/>
    <w:rsid w:val="00BE1689"/>
    <w:rsid w:val="00BE4010"/>
    <w:rsid w:val="00BE6FDF"/>
    <w:rsid w:val="00BF5253"/>
    <w:rsid w:val="00BF7AE4"/>
    <w:rsid w:val="00C02A35"/>
    <w:rsid w:val="00C035D5"/>
    <w:rsid w:val="00C16137"/>
    <w:rsid w:val="00C20F5C"/>
    <w:rsid w:val="00C227A5"/>
    <w:rsid w:val="00C237D6"/>
    <w:rsid w:val="00C27820"/>
    <w:rsid w:val="00C30A17"/>
    <w:rsid w:val="00C32852"/>
    <w:rsid w:val="00C4201B"/>
    <w:rsid w:val="00C55A53"/>
    <w:rsid w:val="00C61BD0"/>
    <w:rsid w:val="00C651A1"/>
    <w:rsid w:val="00C67D29"/>
    <w:rsid w:val="00C71B3A"/>
    <w:rsid w:val="00C7392B"/>
    <w:rsid w:val="00C86DEE"/>
    <w:rsid w:val="00C9034A"/>
    <w:rsid w:val="00CA37F8"/>
    <w:rsid w:val="00CA42B7"/>
    <w:rsid w:val="00CB3BD7"/>
    <w:rsid w:val="00CC375C"/>
    <w:rsid w:val="00CC5D6A"/>
    <w:rsid w:val="00CC5FAE"/>
    <w:rsid w:val="00CC664D"/>
    <w:rsid w:val="00CD4F83"/>
    <w:rsid w:val="00CE1124"/>
    <w:rsid w:val="00CE5D34"/>
    <w:rsid w:val="00CE7D67"/>
    <w:rsid w:val="00CF13B1"/>
    <w:rsid w:val="00CF47F8"/>
    <w:rsid w:val="00CF72E3"/>
    <w:rsid w:val="00D033A9"/>
    <w:rsid w:val="00D1047A"/>
    <w:rsid w:val="00D12C64"/>
    <w:rsid w:val="00D12CE6"/>
    <w:rsid w:val="00D13851"/>
    <w:rsid w:val="00D25E45"/>
    <w:rsid w:val="00D33738"/>
    <w:rsid w:val="00D442C6"/>
    <w:rsid w:val="00D61B0C"/>
    <w:rsid w:val="00D77FD4"/>
    <w:rsid w:val="00D83913"/>
    <w:rsid w:val="00D83E58"/>
    <w:rsid w:val="00D84A37"/>
    <w:rsid w:val="00D90327"/>
    <w:rsid w:val="00D95CB3"/>
    <w:rsid w:val="00DA074B"/>
    <w:rsid w:val="00DA2E12"/>
    <w:rsid w:val="00DB1263"/>
    <w:rsid w:val="00DB6222"/>
    <w:rsid w:val="00DC2CC9"/>
    <w:rsid w:val="00DC6B27"/>
    <w:rsid w:val="00DC7750"/>
    <w:rsid w:val="00DD1F25"/>
    <w:rsid w:val="00DE4CAB"/>
    <w:rsid w:val="00DF17B7"/>
    <w:rsid w:val="00DF33F7"/>
    <w:rsid w:val="00E03682"/>
    <w:rsid w:val="00E15E68"/>
    <w:rsid w:val="00E21455"/>
    <w:rsid w:val="00E24939"/>
    <w:rsid w:val="00E36B26"/>
    <w:rsid w:val="00E37990"/>
    <w:rsid w:val="00E431F7"/>
    <w:rsid w:val="00E43DA5"/>
    <w:rsid w:val="00E4429D"/>
    <w:rsid w:val="00E470B8"/>
    <w:rsid w:val="00E51C5E"/>
    <w:rsid w:val="00E56FA1"/>
    <w:rsid w:val="00E60FAE"/>
    <w:rsid w:val="00E62C0A"/>
    <w:rsid w:val="00E62C29"/>
    <w:rsid w:val="00E7349A"/>
    <w:rsid w:val="00E755F0"/>
    <w:rsid w:val="00E77E5C"/>
    <w:rsid w:val="00E813D6"/>
    <w:rsid w:val="00E843C7"/>
    <w:rsid w:val="00E85E59"/>
    <w:rsid w:val="00EA4A05"/>
    <w:rsid w:val="00EB65D2"/>
    <w:rsid w:val="00EB7F49"/>
    <w:rsid w:val="00EE375E"/>
    <w:rsid w:val="00EF34F4"/>
    <w:rsid w:val="00EF3C99"/>
    <w:rsid w:val="00EF41A7"/>
    <w:rsid w:val="00EF41B2"/>
    <w:rsid w:val="00EF5F44"/>
    <w:rsid w:val="00F023AB"/>
    <w:rsid w:val="00F0316C"/>
    <w:rsid w:val="00F10CAE"/>
    <w:rsid w:val="00F11EC5"/>
    <w:rsid w:val="00F146B7"/>
    <w:rsid w:val="00F27D69"/>
    <w:rsid w:val="00F311BF"/>
    <w:rsid w:val="00F44E38"/>
    <w:rsid w:val="00F47B27"/>
    <w:rsid w:val="00F55D1F"/>
    <w:rsid w:val="00F61A41"/>
    <w:rsid w:val="00F62FD1"/>
    <w:rsid w:val="00F708D5"/>
    <w:rsid w:val="00F72778"/>
    <w:rsid w:val="00F7735A"/>
    <w:rsid w:val="00F84241"/>
    <w:rsid w:val="00F86DFD"/>
    <w:rsid w:val="00F90368"/>
    <w:rsid w:val="00F9545D"/>
    <w:rsid w:val="00F97A71"/>
    <w:rsid w:val="00FA60DA"/>
    <w:rsid w:val="00FF1B92"/>
    <w:rsid w:val="00FF7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EEB1B-9A5A-4C68-A5D1-B915689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46B7"/>
    <w:pPr>
      <w:ind w:left="720"/>
      <w:contextualSpacing/>
    </w:pPr>
  </w:style>
  <w:style w:type="paragraph" w:styleId="Testofumetto">
    <w:name w:val="Balloon Text"/>
    <w:basedOn w:val="Normale"/>
    <w:link w:val="TestofumettoCarattere"/>
    <w:uiPriority w:val="99"/>
    <w:semiHidden/>
    <w:unhideWhenUsed/>
    <w:rsid w:val="00D25E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E45"/>
    <w:rPr>
      <w:rFonts w:ascii="Tahoma" w:hAnsi="Tahoma" w:cs="Tahoma"/>
      <w:sz w:val="16"/>
      <w:szCs w:val="16"/>
    </w:rPr>
  </w:style>
  <w:style w:type="paragraph" w:styleId="Intestazione">
    <w:name w:val="header"/>
    <w:basedOn w:val="Normale"/>
    <w:link w:val="IntestazioneCarattere"/>
    <w:uiPriority w:val="99"/>
    <w:unhideWhenUsed/>
    <w:rsid w:val="00F031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16C"/>
  </w:style>
  <w:style w:type="paragraph" w:styleId="Pidipagina">
    <w:name w:val="footer"/>
    <w:basedOn w:val="Normale"/>
    <w:link w:val="PidipaginaCarattere"/>
    <w:uiPriority w:val="99"/>
    <w:unhideWhenUsed/>
    <w:rsid w:val="00F031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96620">
      <w:bodyDiv w:val="1"/>
      <w:marLeft w:val="0"/>
      <w:marRight w:val="0"/>
      <w:marTop w:val="0"/>
      <w:marBottom w:val="0"/>
      <w:divBdr>
        <w:top w:val="none" w:sz="0" w:space="0" w:color="auto"/>
        <w:left w:val="none" w:sz="0" w:space="0" w:color="auto"/>
        <w:bottom w:val="none" w:sz="0" w:space="0" w:color="auto"/>
        <w:right w:val="none" w:sz="0" w:space="0" w:color="auto"/>
      </w:divBdr>
    </w:div>
    <w:div w:id="19634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4356</Words>
  <Characters>24833</Characters>
  <Application>Microsoft Office Word</Application>
  <DocSecurity>4</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Bultrini</dc:creator>
  <cp:lastModifiedBy>Claudia Polli</cp:lastModifiedBy>
  <cp:revision>2</cp:revision>
  <dcterms:created xsi:type="dcterms:W3CDTF">2021-08-23T08:29:00Z</dcterms:created>
  <dcterms:modified xsi:type="dcterms:W3CDTF">2021-08-23T08:29:00Z</dcterms:modified>
</cp:coreProperties>
</file>