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79" w:rsidRDefault="00C33279">
      <w:pPr>
        <w:rPr>
          <w:rFonts w:ascii="Bookman Old Style" w:eastAsia="Bookman Old Style" w:hAnsi="Bookman Old Style" w:cs="Bookman Old Style"/>
        </w:rPr>
      </w:pPr>
    </w:p>
    <w:p w:rsidR="00C33279" w:rsidRDefault="00C33279">
      <w:pPr>
        <w:jc w:val="both"/>
        <w:rPr>
          <w:rFonts w:ascii="Bookman Old Style" w:eastAsia="Bookman Old Style" w:hAnsi="Bookman Old Style" w:cs="Bookman Old Style"/>
        </w:rPr>
      </w:pPr>
    </w:p>
    <w:p w:rsidR="00C33279" w:rsidRDefault="000D7544">
      <w:pPr>
        <w:jc w:val="center"/>
        <w:rPr>
          <w:rFonts w:ascii="Bookman Old Style" w:eastAsia="Bookman Old Style" w:hAnsi="Bookman Old Style" w:cs="Bookman Old Style"/>
        </w:rPr>
      </w:pPr>
      <w:r>
        <w:rPr>
          <w:noProof/>
        </w:rPr>
        <w:drawing>
          <wp:inline distT="0" distB="0" distL="0" distR="0">
            <wp:extent cx="785106" cy="11605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85106" cy="1160592"/>
                    </a:xfrm>
                    <a:prstGeom prst="rect">
                      <a:avLst/>
                    </a:prstGeom>
                    <a:ln/>
                  </pic:spPr>
                </pic:pic>
              </a:graphicData>
            </a:graphic>
          </wp:inline>
        </w:drawing>
      </w:r>
    </w:p>
    <w:p w:rsidR="00C33279" w:rsidRDefault="00C33279">
      <w:pPr>
        <w:jc w:val="both"/>
        <w:rPr>
          <w:rFonts w:ascii="Bookman Old Style" w:eastAsia="Bookman Old Style" w:hAnsi="Bookman Old Style" w:cs="Bookman Old Style"/>
        </w:rPr>
      </w:pPr>
    </w:p>
    <w:p w:rsidR="00C33279" w:rsidRDefault="000D7544">
      <w:pPr>
        <w:jc w:val="center"/>
        <w:rPr>
          <w:rFonts w:ascii="Bookman Old Style" w:eastAsia="Bookman Old Style" w:hAnsi="Bookman Old Style" w:cs="Bookman Old Style"/>
        </w:rPr>
      </w:pPr>
      <w:r>
        <w:rPr>
          <w:rFonts w:ascii="Bookman Old Style" w:eastAsia="Bookman Old Style" w:hAnsi="Bookman Old Style" w:cs="Bookman Old Style"/>
        </w:rPr>
        <w:t>Nota di indirizzo</w:t>
      </w:r>
    </w:p>
    <w:p w:rsidR="00C33279" w:rsidRDefault="00C33279">
      <w:pPr>
        <w:rPr>
          <w:rFonts w:ascii="Bookman Old Style" w:eastAsia="Bookman Old Style" w:hAnsi="Bookman Old Style" w:cs="Bookman Old Style"/>
        </w:rPr>
      </w:pPr>
    </w:p>
    <w:p w:rsidR="00C33279" w:rsidRDefault="000D7544">
      <w:pPr>
        <w:rPr>
          <w:rFonts w:ascii="Bookman Old Style" w:eastAsia="Bookman Old Style" w:hAnsi="Bookman Old Style" w:cs="Bookman Old Style"/>
        </w:rPr>
      </w:pPr>
      <w:proofErr w:type="spellStart"/>
      <w:r>
        <w:rPr>
          <w:rFonts w:ascii="Bookman Old Style" w:eastAsia="Bookman Old Style" w:hAnsi="Bookman Old Style" w:cs="Bookman Old Style"/>
        </w:rPr>
        <w:t>Prot</w:t>
      </w:r>
      <w:proofErr w:type="spellEnd"/>
      <w:r>
        <w:rPr>
          <w:rFonts w:ascii="Bookman Old Style" w:eastAsia="Bookman Old Style" w:hAnsi="Bookman Old Style" w:cs="Bookman Old Style"/>
        </w:rPr>
        <w:t>. n. 122/ VSG/SD</w:t>
      </w:r>
    </w:p>
    <w:p w:rsidR="00C33279" w:rsidRDefault="000D7544">
      <w:pPr>
        <w:pBdr>
          <w:top w:val="single" w:sz="4" w:space="1" w:color="000000"/>
          <w:left w:val="single" w:sz="4" w:space="4" w:color="000000"/>
          <w:bottom w:val="single" w:sz="4" w:space="1" w:color="000000"/>
          <w:right w:val="single" w:sz="4" w:space="4" w:color="000000"/>
        </w:pBdr>
        <w:jc w:val="both"/>
        <w:rPr>
          <w:rFonts w:ascii="Bookman Old Style" w:eastAsia="Bookman Old Style" w:hAnsi="Bookman Old Style" w:cs="Bookman Old Style"/>
          <w:b/>
        </w:rPr>
      </w:pPr>
      <w:r>
        <w:rPr>
          <w:rFonts w:ascii="Bookman Old Style" w:eastAsia="Bookman Old Style" w:hAnsi="Bookman Old Style" w:cs="Bookman Old Style"/>
        </w:rPr>
        <w:t xml:space="preserve">OGGETTO: </w:t>
      </w:r>
      <w:r>
        <w:rPr>
          <w:rFonts w:ascii="Bookman Old Style" w:eastAsia="Bookman Old Style" w:hAnsi="Bookman Old Style" w:cs="Bookman Old Style"/>
          <w:b/>
        </w:rPr>
        <w:t xml:space="preserve">“Misure urgenti di solidarietà alimentare” di cui all’articolo 2 del decreto legge 23 novembre 2020, n. 154 </w:t>
      </w:r>
    </w:p>
    <w:p w:rsidR="00C33279" w:rsidRDefault="00C33279">
      <w:pPr>
        <w:jc w:val="both"/>
        <w:rPr>
          <w:rFonts w:ascii="Bookman Old Style" w:eastAsia="Bookman Old Style" w:hAnsi="Bookman Old Style" w:cs="Bookman Old Style"/>
          <w:b/>
        </w:rPr>
      </w:pPr>
    </w:p>
    <w:p w:rsidR="00C33279" w:rsidRDefault="000D7544">
      <w:pPr>
        <w:jc w:val="both"/>
        <w:rPr>
          <w:rFonts w:ascii="Bookman Old Style" w:eastAsia="Bookman Old Style" w:hAnsi="Bookman Old Style" w:cs="Bookman Old Style"/>
          <w:b/>
        </w:rPr>
      </w:pPr>
      <w:r>
        <w:rPr>
          <w:rFonts w:ascii="Bookman Old Style" w:eastAsia="Bookman Old Style" w:hAnsi="Bookman Old Style" w:cs="Bookman Old Style"/>
          <w:b/>
        </w:rPr>
        <w:t>Premessa</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L’articolo 2 del decreto legge 23 novembre 2020, n. 154 recante “</w:t>
      </w:r>
      <w:r>
        <w:rPr>
          <w:rFonts w:ascii="Bookman Old Style" w:eastAsia="Bookman Old Style" w:hAnsi="Bookman Old Style" w:cs="Bookman Old Style"/>
          <w:i/>
        </w:rPr>
        <w:t>Misure finanziarie urgenti connesse all’emergenza epidemiologica da COVID-19</w:t>
      </w:r>
      <w:r>
        <w:rPr>
          <w:rFonts w:ascii="Bookman Old Style" w:eastAsia="Bookman Old Style" w:hAnsi="Bookman Old Style" w:cs="Bookman Old Style"/>
        </w:rPr>
        <w:t xml:space="preserve">” interviene per consentire ai Comuni </w:t>
      </w:r>
      <w:proofErr w:type="gramStart"/>
      <w:r>
        <w:rPr>
          <w:rFonts w:ascii="Bookman Old Style" w:eastAsia="Bookman Old Style" w:hAnsi="Bookman Old Style" w:cs="Bookman Old Style"/>
        </w:rPr>
        <w:t>l’adozione</w:t>
      </w:r>
      <w:proofErr w:type="gramEnd"/>
      <w:r>
        <w:rPr>
          <w:rFonts w:ascii="Bookman Old Style" w:eastAsia="Bookman Old Style" w:hAnsi="Bookman Old Style" w:cs="Bookman Old Style"/>
        </w:rPr>
        <w:t xml:space="preserve"> di misure urgenti di solidarietà alimentare.</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A tal fine </w:t>
      </w:r>
      <w:r>
        <w:rPr>
          <w:rFonts w:ascii="Bookman Old Style" w:eastAsia="Bookman Old Style" w:hAnsi="Bookman Old Style" w:cs="Bookman Old Style"/>
          <w:b/>
        </w:rPr>
        <w:t>viene istituito nello stato di previsione del Ministero dell’interno un fon</w:t>
      </w:r>
      <w:r>
        <w:rPr>
          <w:rFonts w:ascii="Bookman Old Style" w:eastAsia="Bookman Old Style" w:hAnsi="Bookman Old Style" w:cs="Bookman Old Style"/>
          <w:b/>
        </w:rPr>
        <w:t>do di 400 milioni di euro nel 2020, da erogare a ciascun comune, entro 7 giorni dalla data di entrata in vigore del decreto legge</w:t>
      </w:r>
      <w:r>
        <w:rPr>
          <w:rFonts w:ascii="Bookman Old Style" w:eastAsia="Bookman Old Style" w:hAnsi="Bookman Old Style" w:cs="Bookman Old Style"/>
        </w:rPr>
        <w:t xml:space="preserve"> (entro il 30 novembre 2020).</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Si ricorda che già con l’ordinanza del Capo del Dipartimento della protezione civile n. 658 del 2</w:t>
      </w:r>
      <w:r>
        <w:rPr>
          <w:rFonts w:ascii="Bookman Old Style" w:eastAsia="Bookman Old Style" w:hAnsi="Bookman Old Style" w:cs="Bookman Old Style"/>
        </w:rPr>
        <w:t xml:space="preserve">9 marzo 2020 era stato erogato il primo fondo da 400 milioni ai Comuni per tali esigenze.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La norma in oggetto dunque rimanda per la ripartizione di questo nuovo stanziamento proprio agli Allegati 1 e 2 dell’ordinanza n. 658.</w:t>
      </w:r>
    </w:p>
    <w:p w:rsidR="00C33279" w:rsidRDefault="000D7544">
      <w:pPr>
        <w:numPr>
          <w:ilvl w:val="0"/>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Modalità attuative</w:t>
      </w:r>
    </w:p>
    <w:p w:rsidR="00C33279" w:rsidRDefault="000D7544">
      <w:pPr>
        <w:jc w:val="both"/>
        <w:rPr>
          <w:rFonts w:ascii="Bookman Old Style" w:eastAsia="Bookman Old Style" w:hAnsi="Bookman Old Style" w:cs="Bookman Old Style"/>
        </w:rPr>
      </w:pPr>
      <w:bookmarkStart w:id="0" w:name="_GoBack"/>
      <w:bookmarkEnd w:id="0"/>
      <w:r>
        <w:rPr>
          <w:rFonts w:ascii="Bookman Old Style" w:eastAsia="Bookman Old Style" w:hAnsi="Bookman Old Style" w:cs="Bookman Old Style"/>
        </w:rPr>
        <w:t>Le spettanz</w:t>
      </w:r>
      <w:r>
        <w:rPr>
          <w:rFonts w:ascii="Bookman Old Style" w:eastAsia="Bookman Old Style" w:hAnsi="Bookman Old Style" w:cs="Bookman Old Style"/>
        </w:rPr>
        <w:t xml:space="preserve">e per ciascun Comune sono quelle derivanti dal riparto in base ai criteri di cui all’articolo 2 dell’ordinanza n. 658 del 29 marzo 2020 e riportate nel suo allegato. </w:t>
      </w:r>
    </w:p>
    <w:p w:rsidR="00C33279" w:rsidRDefault="000D7544">
      <w:pPr>
        <w:jc w:val="both"/>
        <w:rPr>
          <w:rFonts w:ascii="Bookman Old Style" w:eastAsia="Bookman Old Style" w:hAnsi="Bookman Old Style" w:cs="Bookman Old Style"/>
          <w:b/>
          <w:i/>
        </w:rPr>
      </w:pPr>
      <w:r>
        <w:rPr>
          <w:rFonts w:ascii="Bookman Old Style" w:eastAsia="Bookman Old Style" w:hAnsi="Bookman Old Style" w:cs="Bookman Old Style"/>
          <w:b/>
          <w:i/>
        </w:rPr>
        <w:t xml:space="preserve">La spettanza, così determinata, andrà contabilizzata nel bilancio di ciascun ente locale </w:t>
      </w:r>
      <w:r>
        <w:rPr>
          <w:rFonts w:ascii="Bookman Old Style" w:eastAsia="Bookman Old Style" w:hAnsi="Bookman Old Style" w:cs="Bookman Old Style"/>
          <w:b/>
          <w:i/>
        </w:rPr>
        <w:t xml:space="preserve">attraverso, se necessario, una variazione di bilancio a titolo di “misure urgenti di solidarietà alimentare” (articolo 1 comma 1 </w:t>
      </w:r>
      <w:proofErr w:type="gramStart"/>
      <w:r>
        <w:rPr>
          <w:rFonts w:ascii="Bookman Old Style" w:eastAsia="Bookman Old Style" w:hAnsi="Bookman Old Style" w:cs="Bookman Old Style"/>
          <w:b/>
          <w:i/>
        </w:rPr>
        <w:t>dell’ Ordinanza</w:t>
      </w:r>
      <w:proofErr w:type="gramEnd"/>
      <w:r>
        <w:rPr>
          <w:rFonts w:ascii="Bookman Old Style" w:eastAsia="Bookman Old Style" w:hAnsi="Bookman Old Style" w:cs="Bookman Old Style"/>
          <w:b/>
          <w:i/>
        </w:rPr>
        <w:t xml:space="preserve"> )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Gli enti locali, in esercizio provvisorio, in base all’articolo 1 comma 3 dell’Ordinanza potranno procedere (la disposizione parla di “autorizzazione”) ad una variazione di bilancio con delibera di Giunta.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L’art. 2 del decreto legge 154 prevede che il Mi</w:t>
      </w:r>
      <w:r>
        <w:rPr>
          <w:rFonts w:ascii="Bookman Old Style" w:eastAsia="Bookman Old Style" w:hAnsi="Bookman Old Style" w:cs="Bookman Old Style"/>
        </w:rPr>
        <w:t xml:space="preserve">nistero dell’Interno, </w:t>
      </w:r>
      <w:r>
        <w:rPr>
          <w:rFonts w:ascii="Bookman Old Style" w:eastAsia="Bookman Old Style" w:hAnsi="Bookman Old Style" w:cs="Bookman Old Style"/>
          <w:b/>
        </w:rPr>
        <w:t>entro il 30 novembre p.v.,</w:t>
      </w:r>
      <w:r>
        <w:rPr>
          <w:rFonts w:ascii="Bookman Old Style" w:eastAsia="Bookman Old Style" w:hAnsi="Bookman Old Style" w:cs="Bookman Old Style"/>
        </w:rPr>
        <w:t xml:space="preserve"> assegni a ciascun Comune, i fondi previsti. </w:t>
      </w:r>
    </w:p>
    <w:p w:rsidR="00C33279" w:rsidRDefault="000D7544">
      <w:pPr>
        <w:jc w:val="both"/>
        <w:rPr>
          <w:rFonts w:ascii="Bookman Old Style" w:eastAsia="Bookman Old Style" w:hAnsi="Bookman Old Style" w:cs="Bookman Old Style"/>
          <w:b/>
          <w:i/>
          <w:u w:val="single"/>
        </w:rPr>
      </w:pPr>
      <w:r>
        <w:rPr>
          <w:rFonts w:ascii="Bookman Old Style" w:eastAsia="Bookman Old Style" w:hAnsi="Bookman Old Style" w:cs="Bookman Old Style"/>
          <w:b/>
          <w:i/>
          <w:u w:val="single"/>
        </w:rPr>
        <w:t xml:space="preserve">Non è previsto un termine per l’utilizzo di tale risorse in capo ai Comuni, né obbligo di rendicontazione a terzi di quanto speso.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I Comuni, oltre ad utilizzare le risorse di cui all’art.2 del </w:t>
      </w:r>
      <w:proofErr w:type="spellStart"/>
      <w:r>
        <w:rPr>
          <w:rFonts w:ascii="Bookman Old Style" w:eastAsia="Bookman Old Style" w:hAnsi="Bookman Old Style" w:cs="Bookman Old Style"/>
        </w:rPr>
        <w:t>d.l.</w:t>
      </w:r>
      <w:proofErr w:type="spellEnd"/>
      <w:r>
        <w:rPr>
          <w:rFonts w:ascii="Bookman Old Style" w:eastAsia="Bookman Old Style" w:hAnsi="Bookman Old Style" w:cs="Bookman Old Style"/>
        </w:rPr>
        <w:t xml:space="preserve"> 154, possono destinare all’attuazione di misure urgenti di solidarietà alimentare anche eventuali donazioni. A tal fine è autorizzata l’apertura anche di appositi conti correnti bancari pre</w:t>
      </w:r>
      <w:r>
        <w:rPr>
          <w:rFonts w:ascii="Bookman Old Style" w:eastAsia="Bookman Old Style" w:hAnsi="Bookman Old Style" w:cs="Bookman Old Style"/>
        </w:rPr>
        <w:t xml:space="preserve">sso il proprio tesoriere o conti correnti postali dove far confluire le donazioni. Tali donazioni sono defiscalizzate come previsto dall’articolo 66 del decreto legge 17 marzo 2020, n. 18 come convertito dalla legge 24 aprile 2020, n. 27. </w:t>
      </w:r>
    </w:p>
    <w:p w:rsidR="00C33279" w:rsidRDefault="000D7544">
      <w:pPr>
        <w:numPr>
          <w:ilvl w:val="0"/>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Misure</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Cosa poss</w:t>
      </w:r>
      <w:r>
        <w:rPr>
          <w:rFonts w:ascii="Bookman Old Style" w:eastAsia="Bookman Old Style" w:hAnsi="Bookman Old Style" w:cs="Bookman Old Style"/>
        </w:rPr>
        <w:t xml:space="preserve">ono acquistare i </w:t>
      </w:r>
      <w:proofErr w:type="gramStart"/>
      <w:r>
        <w:rPr>
          <w:rFonts w:ascii="Bookman Old Style" w:eastAsia="Bookman Old Style" w:hAnsi="Bookman Old Style" w:cs="Bookman Old Style"/>
        </w:rPr>
        <w:t>Comuni :</w:t>
      </w:r>
      <w:proofErr w:type="gramEnd"/>
      <w:r>
        <w:rPr>
          <w:rFonts w:ascii="Bookman Old Style" w:eastAsia="Bookman Old Style" w:hAnsi="Bookman Old Style" w:cs="Bookman Old Style"/>
        </w:rPr>
        <w:t xml:space="preserve"> </w:t>
      </w:r>
    </w:p>
    <w:p w:rsidR="00C33279" w:rsidRDefault="000D7544">
      <w:pPr>
        <w:numPr>
          <w:ilvl w:val="0"/>
          <w:numId w:val="2"/>
        </w:numPr>
        <w:pBdr>
          <w:top w:val="nil"/>
          <w:left w:val="nil"/>
          <w:bottom w:val="nil"/>
          <w:right w:val="nil"/>
          <w:between w:val="nil"/>
        </w:pBdr>
        <w:spacing w:after="0"/>
        <w:jc w:val="both"/>
        <w:rPr>
          <w:rFonts w:ascii="Bookman Old Style" w:eastAsia="Bookman Old Style" w:hAnsi="Bookman Old Style" w:cs="Bookman Old Style"/>
          <w:color w:val="000000"/>
        </w:rPr>
      </w:pPr>
      <w:proofErr w:type="gramStart"/>
      <w:r>
        <w:rPr>
          <w:rFonts w:ascii="Bookman Old Style" w:eastAsia="Bookman Old Style" w:hAnsi="Bookman Old Style" w:cs="Bookman Old Style"/>
          <w:b/>
          <w:color w:val="000000"/>
        </w:rPr>
        <w:t>buoni</w:t>
      </w:r>
      <w:proofErr w:type="gramEnd"/>
      <w:r>
        <w:rPr>
          <w:rFonts w:ascii="Bookman Old Style" w:eastAsia="Bookman Old Style" w:hAnsi="Bookman Old Style" w:cs="Bookman Old Style"/>
          <w:b/>
          <w:color w:val="000000"/>
        </w:rPr>
        <w:t xml:space="preserve"> spesa</w:t>
      </w:r>
      <w:r>
        <w:rPr>
          <w:rFonts w:ascii="Bookman Old Style" w:eastAsia="Bookman Old Style" w:hAnsi="Bookman Old Style" w:cs="Bookman Old Style"/>
          <w:color w:val="000000"/>
        </w:rPr>
        <w:t xml:space="preserve"> utilizzabili per l’acquisto di generi alimentari presso gli esercizi commerciali contenuti in un elenco che ciascun Comune dovrà pubblicare sul proprio sito istituzionale.  </w:t>
      </w:r>
    </w:p>
    <w:p w:rsidR="00C33279" w:rsidRDefault="000D7544">
      <w:pPr>
        <w:pBdr>
          <w:top w:val="nil"/>
          <w:left w:val="nil"/>
          <w:bottom w:val="nil"/>
          <w:right w:val="nil"/>
          <w:between w:val="nil"/>
        </w:pBdr>
        <w:spacing w:after="0"/>
        <w:ind w:left="720" w:hanging="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tal fine si rileva che: </w:t>
      </w:r>
    </w:p>
    <w:p w:rsidR="00C33279" w:rsidRDefault="000D7544">
      <w:pPr>
        <w:numPr>
          <w:ilvl w:val="0"/>
          <w:numId w:val="1"/>
        </w:numPr>
        <w:pBdr>
          <w:top w:val="nil"/>
          <w:left w:val="nil"/>
          <w:bottom w:val="nil"/>
          <w:right w:val="nil"/>
          <w:between w:val="nil"/>
        </w:pBdr>
        <w:spacing w:after="0"/>
        <w:jc w:val="both"/>
        <w:rPr>
          <w:color w:val="000000"/>
        </w:rPr>
      </w:pPr>
      <w:proofErr w:type="gramStart"/>
      <w:r>
        <w:rPr>
          <w:rFonts w:ascii="Bookman Old Style" w:eastAsia="Bookman Old Style" w:hAnsi="Bookman Old Style" w:cs="Bookman Old Style"/>
          <w:color w:val="000000"/>
        </w:rPr>
        <w:t>possono</w:t>
      </w:r>
      <w:proofErr w:type="gramEnd"/>
      <w:r>
        <w:rPr>
          <w:rFonts w:ascii="Bookman Old Style" w:eastAsia="Bookman Old Style" w:hAnsi="Bookman Old Style" w:cs="Bookman Old Style"/>
          <w:color w:val="000000"/>
        </w:rPr>
        <w:t xml:space="preserve"> utilizzarsi titoli legittimanti all’acquisto già in uso presso l’Ente ad esempio per i voucher sociali, ovvero acquistare buoni pasto utilizzabili per il servizio sostitutivo di mensa ovvero esternalizzare – senza necessità di procedura ad evidenza</w:t>
      </w:r>
      <w:r>
        <w:rPr>
          <w:rFonts w:ascii="Bookman Old Style" w:eastAsia="Bookman Old Style" w:hAnsi="Bookman Old Style" w:cs="Bookman Old Style"/>
          <w:color w:val="000000"/>
        </w:rPr>
        <w:t xml:space="preserve"> pubblica – tale attività a terzi soggetti idonei alla realizzazione e distribuzione dei titoli legittimanti all’acquisto per i beneficiari,  etc.</w:t>
      </w:r>
    </w:p>
    <w:p w:rsidR="00C33279" w:rsidRDefault="000D7544">
      <w:pPr>
        <w:numPr>
          <w:ilvl w:val="0"/>
          <w:numId w:val="1"/>
        </w:numPr>
        <w:pBdr>
          <w:top w:val="nil"/>
          <w:left w:val="nil"/>
          <w:bottom w:val="nil"/>
          <w:right w:val="nil"/>
          <w:between w:val="nil"/>
        </w:pBdr>
        <w:spacing w:after="0"/>
        <w:jc w:val="both"/>
        <w:rPr>
          <w:color w:val="000000"/>
        </w:rPr>
      </w:pPr>
      <w:proofErr w:type="gramStart"/>
      <w:r>
        <w:rPr>
          <w:rFonts w:ascii="Bookman Old Style" w:eastAsia="Bookman Old Style" w:hAnsi="Bookman Old Style" w:cs="Bookman Old Style"/>
          <w:color w:val="000000"/>
        </w:rPr>
        <w:t>l’individuazione</w:t>
      </w:r>
      <w:proofErr w:type="gramEnd"/>
      <w:r>
        <w:rPr>
          <w:rFonts w:ascii="Bookman Old Style" w:eastAsia="Bookman Old Style" w:hAnsi="Bookman Old Style" w:cs="Bookman Old Style"/>
          <w:color w:val="000000"/>
        </w:rPr>
        <w:t xml:space="preserve"> degli esercizi commerciali non è soggetta a nessuna procedura standardizzata, sempre per con</w:t>
      </w:r>
      <w:r>
        <w:rPr>
          <w:rFonts w:ascii="Bookman Old Style" w:eastAsia="Bookman Old Style" w:hAnsi="Bookman Old Style" w:cs="Bookman Old Style"/>
          <w:color w:val="000000"/>
        </w:rPr>
        <w:t xml:space="preserve">sentire, nell’emergenza, ai Comuni,  la massima flessibilità di azione amministrativa. Può quindi procedersi a </w:t>
      </w:r>
      <w:proofErr w:type="gramStart"/>
      <w:r>
        <w:rPr>
          <w:rFonts w:ascii="Bookman Old Style" w:eastAsia="Bookman Old Style" w:hAnsi="Bookman Old Style" w:cs="Bookman Old Style"/>
          <w:color w:val="000000"/>
        </w:rPr>
        <w:t>convenzioni  direttamente</w:t>
      </w:r>
      <w:proofErr w:type="gramEnd"/>
      <w:r>
        <w:rPr>
          <w:rFonts w:ascii="Bookman Old Style" w:eastAsia="Bookman Old Style" w:hAnsi="Bookman Old Style" w:cs="Bookman Old Style"/>
          <w:color w:val="000000"/>
        </w:rPr>
        <w:t xml:space="preserve"> con esercizi commerciali che hanno manifestato interesse così come può procedersi con elenchi “aperti”, senza scadenza,</w:t>
      </w:r>
      <w:r>
        <w:rPr>
          <w:rFonts w:ascii="Bookman Old Style" w:eastAsia="Bookman Old Style" w:hAnsi="Bookman Old Style" w:cs="Bookman Old Style"/>
          <w:color w:val="000000"/>
        </w:rPr>
        <w:t xml:space="preserve"> per raccogliere adesioni da parte degli stessi.</w:t>
      </w:r>
    </w:p>
    <w:p w:rsidR="00C33279" w:rsidRDefault="00C33279">
      <w:pPr>
        <w:pBdr>
          <w:top w:val="nil"/>
          <w:left w:val="nil"/>
          <w:bottom w:val="nil"/>
          <w:right w:val="nil"/>
          <w:between w:val="nil"/>
        </w:pBdr>
        <w:spacing w:after="0"/>
        <w:ind w:left="1440" w:hanging="720"/>
        <w:jc w:val="both"/>
        <w:rPr>
          <w:rFonts w:ascii="Bookman Old Style" w:eastAsia="Bookman Old Style" w:hAnsi="Bookman Old Style" w:cs="Bookman Old Style"/>
          <w:color w:val="000000"/>
        </w:rPr>
      </w:pPr>
    </w:p>
    <w:p w:rsidR="00C33279" w:rsidRDefault="000D7544">
      <w:pPr>
        <w:numPr>
          <w:ilvl w:val="0"/>
          <w:numId w:val="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 </w:t>
      </w:r>
      <w:proofErr w:type="gramStart"/>
      <w:r>
        <w:rPr>
          <w:rFonts w:ascii="Bookman Old Style" w:eastAsia="Bookman Old Style" w:hAnsi="Bookman Old Style" w:cs="Bookman Old Style"/>
          <w:b/>
          <w:color w:val="000000"/>
        </w:rPr>
        <w:t>generi</w:t>
      </w:r>
      <w:proofErr w:type="gramEnd"/>
      <w:r>
        <w:rPr>
          <w:rFonts w:ascii="Bookman Old Style" w:eastAsia="Bookman Old Style" w:hAnsi="Bookman Old Style" w:cs="Bookman Old Style"/>
          <w:b/>
          <w:color w:val="000000"/>
        </w:rPr>
        <w:t xml:space="preserve"> alimentari o prodotti di prima necessità</w:t>
      </w:r>
    </w:p>
    <w:p w:rsidR="00C33279" w:rsidRDefault="000D7544">
      <w:pPr>
        <w:jc w:val="both"/>
        <w:rPr>
          <w:rFonts w:ascii="Bookman Old Style" w:eastAsia="Bookman Old Style" w:hAnsi="Bookman Old Style" w:cs="Bookman Old Style"/>
          <w:b/>
        </w:rPr>
      </w:pPr>
      <w:r>
        <w:rPr>
          <w:rFonts w:ascii="Bookman Old Style" w:eastAsia="Bookman Old Style" w:hAnsi="Bookman Old Style" w:cs="Bookman Old Style"/>
          <w:b/>
        </w:rPr>
        <w:t>Gli acquisti che i Comuni possono fare non sono assoggettati alle procedure del Codice degli Appalti decreto legislativo n. 50/2016</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I Comuni, per l’acquisto </w:t>
      </w:r>
      <w:r>
        <w:rPr>
          <w:rFonts w:ascii="Bookman Old Style" w:eastAsia="Bookman Old Style" w:hAnsi="Bookman Old Style" w:cs="Bookman Old Style"/>
        </w:rPr>
        <w:t xml:space="preserve">e la distribuzione dei beni di cui sopra possono avvalersi degli Enti del Terzo Settore.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Nell’individuazione del fabbisogni alimentari e nella distribuzione dei beni, i Comuni in particolare possono coordinarsi con gli enti attivi nella distribuzione alim</w:t>
      </w:r>
      <w:r>
        <w:rPr>
          <w:rFonts w:ascii="Bookman Old Style" w:eastAsia="Bookman Old Style" w:hAnsi="Bookman Old Style" w:cs="Bookman Old Style"/>
        </w:rPr>
        <w:t xml:space="preserve">entare realizzate nell’ambito del Programma Operativo del Fondo di aiuti Europei agli indigenti (FEAD). Il Ministero del lavoro e delle politiche sociali rende disponibile l’elenco delle organizzazioni partner del succitato Programma Operativo.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Non sono d</w:t>
      </w:r>
      <w:r>
        <w:rPr>
          <w:rFonts w:ascii="Bookman Old Style" w:eastAsia="Bookman Old Style" w:hAnsi="Bookman Old Style" w:cs="Bookman Old Style"/>
        </w:rPr>
        <w:t xml:space="preserve">isposte restrizioni agli spostamenti del personale degli Enti del Terzo Settore e dei volontari coinvolti. </w:t>
      </w:r>
    </w:p>
    <w:p w:rsidR="00C33279" w:rsidRDefault="00C33279">
      <w:pPr>
        <w:jc w:val="both"/>
        <w:rPr>
          <w:rFonts w:ascii="Bookman Old Style" w:eastAsia="Bookman Old Style" w:hAnsi="Bookman Old Style" w:cs="Bookman Old Style"/>
          <w:b/>
        </w:rPr>
      </w:pPr>
    </w:p>
    <w:p w:rsidR="00C33279" w:rsidRDefault="000D7544">
      <w:pPr>
        <w:numPr>
          <w:ilvl w:val="0"/>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Individuazione beneficiari</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Ferma restando la discrezionalità degli Enti Locali, si sottolinea che l’Ordinanza 658 non prescrive l’obbligo di approvare atti di indirizzo della Giunta Comunale, in merito ai criteri per l’individuazione della platea di beneficiari delle misure di cui t</w:t>
      </w:r>
      <w:r>
        <w:rPr>
          <w:rFonts w:ascii="Bookman Old Style" w:eastAsia="Bookman Old Style" w:hAnsi="Bookman Old Style" w:cs="Bookman Old Style"/>
        </w:rPr>
        <w:t xml:space="preserve">rattasi.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La competenza in merito all’individuazione della platea dei beneficiari ed il relativo contributo è – dall’Ordinanza – attribuita all’Ufficio dei Servizi Sociali di ciascun Comune.</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L’ufficio individua la platea tra: </w:t>
      </w:r>
    </w:p>
    <w:p w:rsidR="00C33279" w:rsidRDefault="000D7544">
      <w:pPr>
        <w:numPr>
          <w:ilvl w:val="0"/>
          <w:numId w:val="3"/>
        </w:numPr>
        <w:pBdr>
          <w:top w:val="nil"/>
          <w:left w:val="nil"/>
          <w:bottom w:val="nil"/>
          <w:right w:val="nil"/>
          <w:between w:val="nil"/>
        </w:pBdr>
        <w:jc w:val="both"/>
        <w:rPr>
          <w:b/>
          <w:i/>
          <w:color w:val="000000"/>
        </w:rPr>
      </w:pPr>
      <w:proofErr w:type="gramStart"/>
      <w:r>
        <w:rPr>
          <w:rFonts w:ascii="Bookman Old Style" w:eastAsia="Bookman Old Style" w:hAnsi="Bookman Old Style" w:cs="Bookman Old Style"/>
          <w:b/>
          <w:i/>
          <w:color w:val="000000"/>
        </w:rPr>
        <w:t>i</w:t>
      </w:r>
      <w:proofErr w:type="gramEnd"/>
      <w:r>
        <w:rPr>
          <w:rFonts w:ascii="Bookman Old Style" w:eastAsia="Bookman Old Style" w:hAnsi="Bookman Old Style" w:cs="Bookman Old Style"/>
          <w:b/>
          <w:i/>
          <w:color w:val="000000"/>
        </w:rPr>
        <w:t xml:space="preserve"> nuclei familiari più espost</w:t>
      </w:r>
      <w:r>
        <w:rPr>
          <w:rFonts w:ascii="Bookman Old Style" w:eastAsia="Bookman Old Style" w:hAnsi="Bookman Old Style" w:cs="Bookman Old Style"/>
          <w:b/>
          <w:i/>
          <w:color w:val="000000"/>
        </w:rPr>
        <w:t>i agli effetti economici derivanti dall’emergenza epidemiologica da virus Covid-19 e tra quelli in stato di bisogno</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L’ufficio darà priorità a quelli non assegnatari di sostegno pubblico (</w:t>
      </w:r>
      <w:proofErr w:type="spellStart"/>
      <w:r>
        <w:rPr>
          <w:rFonts w:ascii="Bookman Old Style" w:eastAsia="Bookman Old Style" w:hAnsi="Bookman Old Style" w:cs="Bookman Old Style"/>
        </w:rPr>
        <w:t>RdC</w:t>
      </w:r>
      <w:proofErr w:type="spellEnd"/>
      <w:r>
        <w:rPr>
          <w:rFonts w:ascii="Bookman Old Style" w:eastAsia="Bookman Old Style" w:hAnsi="Bookman Old Style" w:cs="Bookman Old Style"/>
        </w:rPr>
        <w:t xml:space="preserve">, Rei, Naspi, indennità di mobilità, cassa integrazione guadagni, </w:t>
      </w:r>
      <w:r>
        <w:rPr>
          <w:rFonts w:ascii="Bookman Old Style" w:eastAsia="Bookman Old Style" w:hAnsi="Bookman Old Style" w:cs="Bookman Old Style"/>
        </w:rPr>
        <w:t>altre forme di sostegno previste a livello locale o regionale)</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Si rileva che ciò non esclude che le risorse possano essere attribuite anche a percettori di altre forme di sostegno pubblico al reddito, ma nell’attribuzione del </w:t>
      </w:r>
      <w:proofErr w:type="gramStart"/>
      <w:r>
        <w:rPr>
          <w:rFonts w:ascii="Bookman Old Style" w:eastAsia="Bookman Old Style" w:hAnsi="Bookman Old Style" w:cs="Bookman Old Style"/>
        </w:rPr>
        <w:t>contributo  dovrà</w:t>
      </w:r>
      <w:proofErr w:type="gramEnd"/>
      <w:r>
        <w:rPr>
          <w:rFonts w:ascii="Bookman Old Style" w:eastAsia="Bookman Old Style" w:hAnsi="Bookman Old Style" w:cs="Bookman Old Style"/>
        </w:rPr>
        <w:t xml:space="preserve"> darsi priori</w:t>
      </w:r>
      <w:r>
        <w:rPr>
          <w:rFonts w:ascii="Bookman Old Style" w:eastAsia="Bookman Old Style" w:hAnsi="Bookman Old Style" w:cs="Bookman Old Style"/>
        </w:rPr>
        <w:t xml:space="preserve">tà a chi tale sostegno non lo riceve.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Si ritiene possibile, tra le varie modalità, procedere con semplici modelli di autocertificazione che consentano la richiesta di accedere celermente alle misure del decreto, ai possibili aventi diritto.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 xml:space="preserve">Tra le varie </w:t>
      </w:r>
      <w:r>
        <w:rPr>
          <w:rFonts w:ascii="Bookman Old Style" w:eastAsia="Bookman Old Style" w:hAnsi="Bookman Old Style" w:cs="Bookman Old Style"/>
        </w:rPr>
        <w:t xml:space="preserve">modalità, è consentito l’accesso alle misure attraverso avviso aperto e a scorrimento dei richiedenti aventi diritto fino ad esaurimento delle spettanze o delle risorse comunque disponibili.  </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In merito al criterio del relativo contributo, si ritiene possi</w:t>
      </w:r>
      <w:r>
        <w:rPr>
          <w:rFonts w:ascii="Bookman Old Style" w:eastAsia="Bookman Old Style" w:hAnsi="Bookman Old Style" w:cs="Bookman Old Style"/>
        </w:rPr>
        <w:t>bile che gli Uffici procedano con criteri meramente proporzionali, ad esaurimento fondi.</w:t>
      </w:r>
    </w:p>
    <w:p w:rsidR="00C33279" w:rsidRDefault="000D7544">
      <w:pPr>
        <w:jc w:val="both"/>
        <w:rPr>
          <w:rFonts w:ascii="Bookman Old Style" w:eastAsia="Bookman Old Style" w:hAnsi="Bookman Old Style" w:cs="Bookman Old Style"/>
        </w:rPr>
      </w:pPr>
      <w:r>
        <w:rPr>
          <w:rFonts w:ascii="Bookman Old Style" w:eastAsia="Bookman Old Style" w:hAnsi="Bookman Old Style" w:cs="Bookman Old Style"/>
        </w:rPr>
        <w:t>Si suggerisce all’Ufficio dei Servizi Sociali del Comune, infine, di rilasciare formale certificazione con un numero univoco di progressione ai beneficiari delle misur</w:t>
      </w:r>
      <w:r>
        <w:rPr>
          <w:rFonts w:ascii="Bookman Old Style" w:eastAsia="Bookman Old Style" w:hAnsi="Bookman Old Style" w:cs="Bookman Old Style"/>
        </w:rPr>
        <w:t xml:space="preserve">e, idonea ad un loro riconoscimento da parte degli esercenti degli esercizi commerciali.      </w:t>
      </w:r>
    </w:p>
    <w:p w:rsidR="00C33279" w:rsidRDefault="000D7544">
      <w:pPr>
        <w:jc w:val="both"/>
        <w:rPr>
          <w:rFonts w:ascii="Bookman Old Style" w:eastAsia="Bookman Old Style" w:hAnsi="Bookman Old Style" w:cs="Bookman Old Style"/>
          <w:i/>
        </w:rPr>
      </w:pPr>
      <w:r>
        <w:rPr>
          <w:rFonts w:ascii="Bookman Old Style" w:eastAsia="Bookman Old Style" w:hAnsi="Bookman Old Style" w:cs="Bookman Old Style"/>
          <w:i/>
        </w:rPr>
        <w:t>Roma, 24 novembre 2020</w:t>
      </w:r>
    </w:p>
    <w:p w:rsidR="00C33279" w:rsidRDefault="00C33279">
      <w:pPr>
        <w:jc w:val="both"/>
        <w:rPr>
          <w:rFonts w:ascii="Bookman Old Style" w:eastAsia="Bookman Old Style" w:hAnsi="Bookman Old Style" w:cs="Bookman Old Style"/>
          <w:b/>
        </w:rPr>
      </w:pPr>
    </w:p>
    <w:p w:rsidR="00C33279" w:rsidRDefault="00C33279">
      <w:pPr>
        <w:pBdr>
          <w:top w:val="nil"/>
          <w:left w:val="nil"/>
          <w:bottom w:val="nil"/>
          <w:right w:val="nil"/>
          <w:between w:val="nil"/>
        </w:pBdr>
        <w:ind w:left="720" w:hanging="720"/>
        <w:jc w:val="both"/>
        <w:rPr>
          <w:rFonts w:ascii="Bookman Old Style" w:eastAsia="Bookman Old Style" w:hAnsi="Bookman Old Style" w:cs="Bookman Old Style"/>
          <w:b/>
          <w:color w:val="000000"/>
        </w:rPr>
      </w:pPr>
    </w:p>
    <w:sectPr w:rsidR="00C3327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2909"/>
    <w:multiLevelType w:val="multilevel"/>
    <w:tmpl w:val="DEF8504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1637A0"/>
    <w:multiLevelType w:val="multilevel"/>
    <w:tmpl w:val="625E2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6F01E4"/>
    <w:multiLevelType w:val="multilevel"/>
    <w:tmpl w:val="86420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9E4979"/>
    <w:multiLevelType w:val="multilevel"/>
    <w:tmpl w:val="B636A4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79"/>
    <w:rsid w:val="000D7544"/>
    <w:rsid w:val="00C33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E5C1AA4D-7A1D-4CED-AFF3-A0A290D0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929</Words>
  <Characters>5299</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Polli</dc:creator>
  <cp:lastModifiedBy>Claudia Polli</cp:lastModifiedBy>
  <cp:revision>2</cp:revision>
  <dcterms:created xsi:type="dcterms:W3CDTF">2020-11-26T11:08:00Z</dcterms:created>
  <dcterms:modified xsi:type="dcterms:W3CDTF">2020-11-26T11:08:00Z</dcterms:modified>
</cp:coreProperties>
</file>