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54" w:rsidRDefault="002C5CC5" w:rsidP="00C32DAC">
      <w:pPr>
        <w:widowControl w:val="0"/>
        <w:shd w:val="clear" w:color="auto" w:fill="FFFFFF"/>
        <w:spacing w:after="120" w:line="240" w:lineRule="auto"/>
        <w:jc w:val="center"/>
        <w:rPr>
          <w:rFonts w:cs="Calibri"/>
          <w:color w:val="222222"/>
        </w:rPr>
      </w:pPr>
      <w:r>
        <w:rPr>
          <w:rFonts w:cs="Calibri"/>
          <w:noProof/>
          <w:color w:val="222222"/>
          <w:lang w:eastAsia="it-IT"/>
        </w:rPr>
        <w:drawing>
          <wp:inline distT="0" distB="0" distL="0" distR="0">
            <wp:extent cx="809625" cy="1196835"/>
            <wp:effectExtent l="19050" t="0" r="0" b="0"/>
            <wp:docPr id="2" name="Immagine 1" descr="Marchio ANCI 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ANCI Istituzion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33" cy="119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2F8" w:rsidRDefault="006052F8" w:rsidP="00C32DAC">
      <w:pPr>
        <w:widowControl w:val="0"/>
        <w:shd w:val="clear" w:color="auto" w:fill="FFFFFF"/>
        <w:spacing w:after="120" w:line="240" w:lineRule="auto"/>
        <w:jc w:val="center"/>
        <w:rPr>
          <w:rFonts w:ascii="Bookman Old Style" w:hAnsi="Bookman Old Style" w:cs="Calibri"/>
          <w:b/>
          <w:color w:val="222222"/>
          <w:sz w:val="24"/>
          <w:szCs w:val="24"/>
        </w:rPr>
      </w:pPr>
    </w:p>
    <w:p w:rsidR="006052F8" w:rsidRDefault="006052F8" w:rsidP="00C32DAC">
      <w:pPr>
        <w:widowControl w:val="0"/>
        <w:shd w:val="clear" w:color="auto" w:fill="FFFFFF"/>
        <w:spacing w:after="120" w:line="240" w:lineRule="auto"/>
        <w:jc w:val="center"/>
        <w:rPr>
          <w:rFonts w:ascii="Bookman Old Style" w:hAnsi="Bookman Old Style" w:cs="Calibri"/>
          <w:b/>
          <w:color w:val="222222"/>
          <w:sz w:val="24"/>
          <w:szCs w:val="24"/>
        </w:rPr>
      </w:pPr>
    </w:p>
    <w:p w:rsidR="00BB64D8" w:rsidRDefault="00BB64D8" w:rsidP="00BB64D8">
      <w:pPr>
        <w:widowControl w:val="0"/>
        <w:shd w:val="clear" w:color="auto" w:fill="FFFFFF"/>
        <w:spacing w:after="120" w:line="360" w:lineRule="auto"/>
        <w:jc w:val="center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>Ufficio Partecipate e Servizi pubblici locali</w:t>
      </w:r>
    </w:p>
    <w:p w:rsidR="00892E54" w:rsidRDefault="00892E54" w:rsidP="00C32DAC">
      <w:pPr>
        <w:widowControl w:val="0"/>
        <w:shd w:val="clear" w:color="auto" w:fill="FFFFFF"/>
        <w:spacing w:after="120" w:line="240" w:lineRule="auto"/>
        <w:jc w:val="center"/>
        <w:rPr>
          <w:rFonts w:ascii="Bookman Old Style" w:hAnsi="Bookman Old Style" w:cs="Calibri"/>
          <w:b/>
          <w:color w:val="222222"/>
          <w:sz w:val="24"/>
          <w:szCs w:val="24"/>
        </w:rPr>
      </w:pPr>
      <w:r w:rsidRPr="00892E54">
        <w:rPr>
          <w:rFonts w:ascii="Bookman Old Style" w:hAnsi="Bookman Old Style" w:cs="Calibri"/>
          <w:b/>
          <w:color w:val="222222"/>
          <w:sz w:val="24"/>
          <w:szCs w:val="24"/>
        </w:rPr>
        <w:t xml:space="preserve">                 </w:t>
      </w:r>
    </w:p>
    <w:p w:rsidR="006848A1" w:rsidRPr="006052F8" w:rsidRDefault="006052F8" w:rsidP="007935FA">
      <w:pPr>
        <w:widowControl w:val="0"/>
        <w:shd w:val="clear" w:color="auto" w:fill="FFFFFF"/>
        <w:spacing w:after="120" w:line="240" w:lineRule="auto"/>
        <w:jc w:val="both"/>
        <w:rPr>
          <w:rFonts w:ascii="Bookman Old Style" w:hAnsi="Bookman Old Style" w:cs="Calibri"/>
          <w:b/>
          <w:i/>
          <w:color w:val="222222"/>
        </w:rPr>
      </w:pPr>
      <w:r>
        <w:rPr>
          <w:rFonts w:ascii="Bookman Old Style" w:hAnsi="Bookman Old Style" w:cs="Calibri"/>
          <w:b/>
          <w:color w:val="222222"/>
          <w:sz w:val="24"/>
          <w:szCs w:val="24"/>
        </w:rPr>
        <w:t xml:space="preserve">Nota informativa su: </w:t>
      </w:r>
      <w:r w:rsidR="00425A8A" w:rsidRPr="006052F8">
        <w:rPr>
          <w:rFonts w:ascii="Bookman Old Style" w:hAnsi="Bookman Old Style" w:cs="Calibri"/>
          <w:b/>
          <w:i/>
          <w:color w:val="222222"/>
        </w:rPr>
        <w:t xml:space="preserve">INTESA SANCITA DALLA CONFERENZA UNIFICATA NELLA SEDUTA DEL 21 SETTEMBRE U.S., IN MERITO ALLO SCHEMA </w:t>
      </w:r>
      <w:proofErr w:type="spellStart"/>
      <w:r w:rsidR="00425A8A" w:rsidRPr="006052F8">
        <w:rPr>
          <w:rFonts w:ascii="Bookman Old Style" w:hAnsi="Bookman Old Style" w:cs="Calibri"/>
          <w:b/>
          <w:i/>
          <w:color w:val="222222"/>
        </w:rPr>
        <w:t>DI</w:t>
      </w:r>
      <w:proofErr w:type="spellEnd"/>
      <w:r w:rsidR="00425A8A" w:rsidRPr="006052F8">
        <w:rPr>
          <w:rFonts w:ascii="Bookman Old Style" w:hAnsi="Bookman Old Style" w:cs="Calibri"/>
          <w:b/>
          <w:i/>
          <w:color w:val="222222"/>
        </w:rPr>
        <w:t xml:space="preserve"> DECRETO DEL MINISTERO DEL LAVORO E DELLE POLITICHE SOCIALI, </w:t>
      </w:r>
      <w:proofErr w:type="spellStart"/>
      <w:r w:rsidR="00425A8A" w:rsidRPr="006052F8">
        <w:rPr>
          <w:rFonts w:ascii="Bookman Old Style" w:hAnsi="Bookman Old Style" w:cs="Calibri"/>
          <w:b/>
          <w:i/>
          <w:color w:val="222222"/>
        </w:rPr>
        <w:t>DI</w:t>
      </w:r>
      <w:proofErr w:type="spellEnd"/>
      <w:r w:rsidR="00425A8A" w:rsidRPr="006052F8">
        <w:rPr>
          <w:rFonts w:ascii="Bookman Old Style" w:hAnsi="Bookman Old Style" w:cs="Calibri"/>
          <w:b/>
          <w:i/>
          <w:color w:val="222222"/>
        </w:rPr>
        <w:t xml:space="preserve"> CONCERTO CON IL MINISTRO PER LA PUBBLICA AMMINISTRAZIONE ED IL MINISTRO DELL’ECONOMIA E DELLE FINANZE, ATTUATIVO DELL’ART. 25, COMMA 1, DEL </w:t>
      </w:r>
      <w:proofErr w:type="spellStart"/>
      <w:r w:rsidR="00425A8A" w:rsidRPr="006052F8">
        <w:rPr>
          <w:rFonts w:ascii="Bookman Old Style" w:hAnsi="Bookman Old Style" w:cs="Calibri"/>
          <w:b/>
          <w:i/>
          <w:color w:val="222222"/>
        </w:rPr>
        <w:t>D.LGS.</w:t>
      </w:r>
      <w:proofErr w:type="spellEnd"/>
      <w:r w:rsidR="00425A8A" w:rsidRPr="006052F8">
        <w:rPr>
          <w:rFonts w:ascii="Bookman Old Style" w:hAnsi="Bookman Old Style" w:cs="Calibri"/>
          <w:b/>
          <w:i/>
          <w:color w:val="222222"/>
        </w:rPr>
        <w:t xml:space="preserve"> N. 175/2016 E </w:t>
      </w:r>
      <w:proofErr w:type="spellStart"/>
      <w:r w:rsidR="00425A8A" w:rsidRPr="006052F8">
        <w:rPr>
          <w:rFonts w:ascii="Bookman Old Style" w:hAnsi="Bookman Old Style" w:cs="Calibri"/>
          <w:b/>
          <w:i/>
          <w:color w:val="222222"/>
        </w:rPr>
        <w:t>S.M.I.</w:t>
      </w:r>
      <w:proofErr w:type="spellEnd"/>
    </w:p>
    <w:p w:rsidR="0016236B" w:rsidRPr="006052F8" w:rsidRDefault="0016236B" w:rsidP="007935FA">
      <w:pPr>
        <w:widowControl w:val="0"/>
        <w:shd w:val="clear" w:color="auto" w:fill="FFFFFF"/>
        <w:spacing w:after="120" w:line="240" w:lineRule="auto"/>
        <w:jc w:val="both"/>
        <w:rPr>
          <w:rFonts w:ascii="Bookman Old Style" w:hAnsi="Bookman Old Style" w:cs="Calibri"/>
          <w:b/>
          <w:i/>
          <w:color w:val="222222"/>
        </w:rPr>
      </w:pPr>
    </w:p>
    <w:p w:rsidR="00F437BD" w:rsidRDefault="00425A8A" w:rsidP="006052F8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ab/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>Si informa che n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ella seduta della Conferenza Unificata del 21 </w:t>
      </w:r>
      <w:r w:rsidR="00EF022B">
        <w:rPr>
          <w:rFonts w:ascii="Bookman Old Style" w:hAnsi="Bookman Old Style" w:cs="Calibri"/>
          <w:color w:val="222222"/>
          <w:sz w:val="24"/>
          <w:szCs w:val="24"/>
        </w:rPr>
        <w:t>settembre u.s.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,  l’Associazione ha espresso parere favorevole all’Intesa in oggetto a seguito dell’accoglimento delle richieste contenute nel documento allegato all’Atto della Conferenza Unificata. </w:t>
      </w:r>
      <w:r w:rsidR="00F437BD">
        <w:rPr>
          <w:rFonts w:ascii="Bookman Old Style" w:hAnsi="Bookman Old Style" w:cs="Calibri"/>
          <w:color w:val="222222"/>
          <w:sz w:val="24"/>
          <w:szCs w:val="24"/>
        </w:rPr>
        <w:t xml:space="preserve"> </w:t>
      </w:r>
    </w:p>
    <w:p w:rsidR="005D64E0" w:rsidRDefault="00F437BD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ab/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A seguito dell’accoglimento di tali richieste, </w:t>
      </w:r>
      <w:r w:rsidR="005D64E0">
        <w:rPr>
          <w:rFonts w:ascii="Bookman Old Style" w:hAnsi="Bookman Old Style" w:cs="Calibri"/>
          <w:color w:val="222222"/>
          <w:sz w:val="24"/>
          <w:szCs w:val="24"/>
        </w:rPr>
        <w:t xml:space="preserve">le società 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controllate da Comuni e Città Metropolitane, di cui all’articolo 25, comma 1, del decreto legislativo n. 175 e </w:t>
      </w:r>
      <w:proofErr w:type="spellStart"/>
      <w:r w:rsidR="006052F8">
        <w:rPr>
          <w:rFonts w:ascii="Bookman Old Style" w:hAnsi="Bookman Old Style" w:cs="Calibri"/>
          <w:color w:val="222222"/>
          <w:sz w:val="24"/>
          <w:szCs w:val="24"/>
        </w:rPr>
        <w:t>ss.mm.ii</w:t>
      </w:r>
      <w:proofErr w:type="spellEnd"/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, </w:t>
      </w:r>
      <w:r w:rsidR="005D64E0">
        <w:rPr>
          <w:rFonts w:ascii="Bookman Old Style" w:hAnsi="Bookman Old Style" w:cs="Calibri"/>
          <w:color w:val="222222"/>
          <w:sz w:val="24"/>
          <w:szCs w:val="24"/>
        </w:rPr>
        <w:t>per definire le eccedenze di personale individuate nei propri organici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, dovranno adempiere agli obblighi di legge secondo la seguente tempistica </w:t>
      </w:r>
      <w:r w:rsidR="005D64E0">
        <w:rPr>
          <w:rFonts w:ascii="Bookman Old Style" w:hAnsi="Bookman Old Style" w:cs="Calibri"/>
          <w:color w:val="222222"/>
          <w:sz w:val="24"/>
          <w:szCs w:val="24"/>
        </w:rPr>
        <w:t>:</w:t>
      </w:r>
    </w:p>
    <w:p w:rsidR="005D64E0" w:rsidRDefault="005D64E0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>a.) effettuare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, 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entro il </w:t>
      </w:r>
      <w:r w:rsidRPr="006052F8">
        <w:rPr>
          <w:rFonts w:ascii="Bookman Old Style" w:hAnsi="Bookman Old Style" w:cs="Calibri"/>
          <w:b/>
          <w:i/>
          <w:color w:val="222222"/>
          <w:sz w:val="24"/>
          <w:szCs w:val="24"/>
          <w:u w:val="single"/>
        </w:rPr>
        <w:t>30 settembre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, </w:t>
      </w:r>
      <w:r w:rsidRPr="003E540A">
        <w:rPr>
          <w:rFonts w:ascii="Bookman Old Style" w:hAnsi="Bookman Old Style" w:cs="Calibri"/>
          <w:b/>
          <w:color w:val="222222"/>
          <w:sz w:val="24"/>
          <w:szCs w:val="24"/>
        </w:rPr>
        <w:t xml:space="preserve">la ricognizione del </w:t>
      </w:r>
      <w:r w:rsidR="006052F8">
        <w:rPr>
          <w:rFonts w:ascii="Bookman Old Style" w:hAnsi="Bookman Old Style" w:cs="Calibri"/>
          <w:b/>
          <w:color w:val="222222"/>
          <w:sz w:val="24"/>
          <w:szCs w:val="24"/>
        </w:rPr>
        <w:t xml:space="preserve">solo </w:t>
      </w:r>
      <w:r w:rsidRPr="003E540A">
        <w:rPr>
          <w:rFonts w:ascii="Bookman Old Style" w:hAnsi="Bookman Old Style" w:cs="Calibri"/>
          <w:b/>
          <w:color w:val="222222"/>
          <w:sz w:val="24"/>
          <w:szCs w:val="24"/>
        </w:rPr>
        <w:t xml:space="preserve">personale </w:t>
      </w:r>
      <w:r w:rsidR="003E540A" w:rsidRPr="003E540A">
        <w:rPr>
          <w:rFonts w:ascii="Bookman Old Style" w:hAnsi="Bookman Old Style" w:cs="Calibri"/>
          <w:b/>
          <w:color w:val="222222"/>
          <w:sz w:val="24"/>
          <w:szCs w:val="24"/>
        </w:rPr>
        <w:t>in servizio</w:t>
      </w:r>
      <w:r>
        <w:rPr>
          <w:rFonts w:ascii="Bookman Old Style" w:hAnsi="Bookman Old Style" w:cs="Calibri"/>
          <w:color w:val="222222"/>
          <w:sz w:val="24"/>
          <w:szCs w:val="24"/>
        </w:rPr>
        <w:t>;</w:t>
      </w:r>
    </w:p>
    <w:p w:rsidR="005D64E0" w:rsidRDefault="005D64E0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>b.)</w:t>
      </w:r>
      <w:r w:rsidR="00F437BD">
        <w:rPr>
          <w:rFonts w:ascii="Bookman Old Style" w:hAnsi="Bookman Old Style" w:cs="Calibri"/>
          <w:color w:val="222222"/>
          <w:sz w:val="24"/>
          <w:szCs w:val="24"/>
        </w:rPr>
        <w:t xml:space="preserve"> 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entro il </w:t>
      </w:r>
      <w:r w:rsidR="006052F8" w:rsidRPr="006052F8">
        <w:rPr>
          <w:rFonts w:ascii="Bookman Old Style" w:hAnsi="Bookman Old Style" w:cs="Calibri"/>
          <w:b/>
          <w:i/>
          <w:color w:val="222222"/>
          <w:sz w:val="24"/>
          <w:szCs w:val="24"/>
          <w:u w:val="single"/>
        </w:rPr>
        <w:t>30</w:t>
      </w:r>
      <w:r w:rsidR="003E540A" w:rsidRPr="006052F8">
        <w:rPr>
          <w:rFonts w:ascii="Bookman Old Style" w:hAnsi="Bookman Old Style" w:cs="Calibri"/>
          <w:b/>
          <w:i/>
          <w:color w:val="222222"/>
          <w:sz w:val="24"/>
          <w:szCs w:val="24"/>
          <w:u w:val="single"/>
        </w:rPr>
        <w:t xml:space="preserve"> novembre</w:t>
      </w:r>
      <w:r w:rsidR="003E540A">
        <w:rPr>
          <w:rFonts w:ascii="Bookman Old Style" w:hAnsi="Bookman Old Style" w:cs="Calibri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indicare e dichiarare le eccedenze di personale, tenuto conto di quanto previsto nei piani di riassetto di cui all’articolo 24 del </w:t>
      </w:r>
      <w:proofErr w:type="spellStart"/>
      <w:r>
        <w:rPr>
          <w:rFonts w:ascii="Bookman Old Style" w:hAnsi="Bookman Old Style" w:cs="Calibri"/>
          <w:color w:val="222222"/>
          <w:sz w:val="24"/>
          <w:szCs w:val="24"/>
        </w:rPr>
        <w:t>T.U.S.P.</w:t>
      </w:r>
      <w:proofErr w:type="spellEnd"/>
      <w:r>
        <w:rPr>
          <w:rFonts w:ascii="Bookman Old Style" w:hAnsi="Bookman Old Style" w:cs="Calibri"/>
          <w:color w:val="222222"/>
          <w:sz w:val="24"/>
          <w:szCs w:val="24"/>
        </w:rPr>
        <w:t>;</w:t>
      </w:r>
    </w:p>
    <w:p w:rsidR="00327CDC" w:rsidRDefault="005D64E0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 xml:space="preserve">c.) 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 xml:space="preserve">entro il </w:t>
      </w:r>
      <w:r w:rsidR="00327CDC" w:rsidRPr="006052F8">
        <w:rPr>
          <w:rFonts w:ascii="Bookman Old Style" w:hAnsi="Bookman Old Style" w:cs="Calibri"/>
          <w:b/>
          <w:i/>
          <w:color w:val="222222"/>
          <w:sz w:val="24"/>
          <w:szCs w:val="24"/>
          <w:u w:val="single"/>
        </w:rPr>
        <w:t>10 dicembre 2017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>, in caso di rilevamento effettivo di eccedenze, effettuare le comunicazioni di cui all’art. 19 della l. n. 300/1970;</w:t>
      </w:r>
    </w:p>
    <w:p w:rsidR="00327CDC" w:rsidRDefault="00327CDC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 xml:space="preserve">d.) entro il </w:t>
      </w:r>
      <w:r w:rsidRPr="006052F8">
        <w:rPr>
          <w:rFonts w:ascii="Bookman Old Style" w:hAnsi="Bookman Old Style" w:cs="Calibri"/>
          <w:b/>
          <w:color w:val="222222"/>
          <w:sz w:val="24"/>
          <w:szCs w:val="24"/>
          <w:u w:val="single"/>
        </w:rPr>
        <w:t>20 dicembre 2017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 inviare alle 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>R</w:t>
      </w:r>
      <w:r>
        <w:rPr>
          <w:rFonts w:ascii="Bookman Old Style" w:hAnsi="Bookman Old Style" w:cs="Calibri"/>
          <w:color w:val="222222"/>
          <w:sz w:val="24"/>
          <w:szCs w:val="24"/>
        </w:rPr>
        <w:t>egioni tutte le informazioni relative al personale eccedente, come dettagliate dall’art. 2, comma 4, della bozza di decreto</w:t>
      </w:r>
      <w:r w:rsidR="00EF022B">
        <w:rPr>
          <w:rFonts w:ascii="Bookman Old Style" w:hAnsi="Bookman Old Style" w:cs="Calibri"/>
          <w:color w:val="222222"/>
          <w:sz w:val="24"/>
          <w:szCs w:val="24"/>
        </w:rPr>
        <w:t>.</w:t>
      </w:r>
    </w:p>
    <w:p w:rsidR="006052F8" w:rsidRDefault="006052F8" w:rsidP="00EF022B">
      <w:pPr>
        <w:widowControl w:val="0"/>
        <w:shd w:val="clear" w:color="auto" w:fill="FFFFFF"/>
        <w:spacing w:after="120" w:line="360" w:lineRule="auto"/>
        <w:ind w:firstLine="708"/>
        <w:jc w:val="both"/>
        <w:rPr>
          <w:rFonts w:ascii="Bookman Old Style" w:hAnsi="Bookman Old Style" w:cs="Calibri"/>
          <w:color w:val="222222"/>
          <w:sz w:val="24"/>
          <w:szCs w:val="24"/>
        </w:rPr>
      </w:pPr>
    </w:p>
    <w:p w:rsidR="00BB64D8" w:rsidRDefault="00EF022B" w:rsidP="00EF022B">
      <w:pPr>
        <w:widowControl w:val="0"/>
        <w:shd w:val="clear" w:color="auto" w:fill="FFFFFF"/>
        <w:spacing w:after="120" w:line="360" w:lineRule="auto"/>
        <w:ind w:firstLine="708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lastRenderedPageBreak/>
        <w:t>I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>nfine,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 xml:space="preserve"> tale procedura </w:t>
      </w:r>
      <w:r>
        <w:rPr>
          <w:rFonts w:ascii="Bookman Old Style" w:hAnsi="Bookman Old Style" w:cs="Calibri"/>
          <w:color w:val="222222"/>
          <w:sz w:val="24"/>
          <w:szCs w:val="24"/>
        </w:rPr>
        <w:t>si concluderà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 xml:space="preserve"> il </w:t>
      </w:r>
      <w:r w:rsidR="00327CDC" w:rsidRPr="006052F8">
        <w:rPr>
          <w:rFonts w:ascii="Bookman Old Style" w:hAnsi="Bookman Old Style" w:cs="Calibri"/>
          <w:b/>
          <w:color w:val="222222"/>
          <w:sz w:val="24"/>
          <w:szCs w:val="24"/>
          <w:u w:val="single"/>
        </w:rPr>
        <w:t>15 gennaio 2018</w:t>
      </w:r>
      <w:r w:rsidR="006052F8">
        <w:rPr>
          <w:rFonts w:ascii="Bookman Old Style" w:hAnsi="Bookman Old Style" w:cs="Calibri"/>
          <w:b/>
          <w:color w:val="222222"/>
          <w:sz w:val="24"/>
          <w:szCs w:val="24"/>
          <w:u w:val="single"/>
        </w:rPr>
        <w:t xml:space="preserve">, 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 con </w:t>
      </w:r>
      <w:r w:rsidR="006052F8">
        <w:rPr>
          <w:rFonts w:ascii="Bookman Old Style" w:hAnsi="Bookman Old Style" w:cs="Calibri"/>
          <w:color w:val="222222"/>
          <w:sz w:val="24"/>
          <w:szCs w:val="24"/>
        </w:rPr>
        <w:t>la trasmissione da parte delle R</w:t>
      </w:r>
      <w:r>
        <w:rPr>
          <w:rFonts w:ascii="Bookman Old Style" w:hAnsi="Bookman Old Style" w:cs="Calibri"/>
          <w:color w:val="222222"/>
          <w:sz w:val="24"/>
          <w:szCs w:val="24"/>
        </w:rPr>
        <w:t>egioni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22222"/>
          <w:sz w:val="24"/>
          <w:szCs w:val="24"/>
        </w:rPr>
        <w:t>di</w:t>
      </w:r>
      <w:r w:rsidR="00327CDC">
        <w:rPr>
          <w:rFonts w:ascii="Bookman Old Style" w:hAnsi="Bookman Old Style" w:cs="Calibri"/>
          <w:color w:val="222222"/>
          <w:sz w:val="24"/>
          <w:szCs w:val="24"/>
        </w:rPr>
        <w:t xml:space="preserve"> una parte dei dati raccolti in merito ai lavoratori eccedenti all’ANPAL</w:t>
      </w:r>
      <w:r w:rsidR="00BB64D8">
        <w:rPr>
          <w:rFonts w:ascii="Bookman Old Style" w:hAnsi="Bookman Old Style" w:cs="Calibri"/>
          <w:color w:val="222222"/>
          <w:sz w:val="24"/>
          <w:szCs w:val="24"/>
        </w:rPr>
        <w:t xml:space="preserve">. </w:t>
      </w:r>
    </w:p>
    <w:p w:rsidR="006052F8" w:rsidRDefault="006052F8" w:rsidP="00EF022B">
      <w:pPr>
        <w:widowControl w:val="0"/>
        <w:shd w:val="clear" w:color="auto" w:fill="FFFFFF"/>
        <w:spacing w:after="120" w:line="360" w:lineRule="auto"/>
        <w:ind w:firstLine="708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 xml:space="preserve">Si ricorda </w:t>
      </w:r>
      <w:r w:rsidR="00BB64D8">
        <w:rPr>
          <w:rFonts w:ascii="Bookman Old Style" w:hAnsi="Bookman Old Style" w:cs="Calibri"/>
          <w:color w:val="222222"/>
          <w:sz w:val="24"/>
          <w:szCs w:val="24"/>
        </w:rPr>
        <w:t xml:space="preserve">infine </w:t>
      </w:r>
      <w:r>
        <w:rPr>
          <w:rFonts w:ascii="Bookman Old Style" w:hAnsi="Bookman Old Style" w:cs="Calibri"/>
          <w:color w:val="222222"/>
          <w:sz w:val="24"/>
          <w:szCs w:val="24"/>
        </w:rPr>
        <w:t>che le società controllate</w:t>
      </w:r>
      <w:r w:rsidR="00E2659B">
        <w:rPr>
          <w:rFonts w:ascii="Bookman Old Style" w:hAnsi="Bookman Old Style" w:cs="Calibri"/>
          <w:color w:val="222222"/>
          <w:sz w:val="24"/>
          <w:szCs w:val="24"/>
        </w:rPr>
        <w:t xml:space="preserve">, fino al 30 giugno 2018, </w:t>
      </w:r>
      <w:r>
        <w:rPr>
          <w:rFonts w:ascii="Bookman Old Style" w:hAnsi="Bookman Old Style" w:cs="Calibri"/>
          <w:color w:val="222222"/>
          <w:sz w:val="24"/>
          <w:szCs w:val="24"/>
        </w:rPr>
        <w:t xml:space="preserve"> non possono procedere ad assunzioni a tempo indeterminato</w:t>
      </w:r>
      <w:r w:rsidR="00E2659B">
        <w:rPr>
          <w:rFonts w:ascii="Bookman Old Style" w:hAnsi="Bookman Old Style" w:cs="Calibri"/>
          <w:color w:val="222222"/>
          <w:sz w:val="24"/>
          <w:szCs w:val="24"/>
        </w:rPr>
        <w:t xml:space="preserve"> se non attingendo ai predetti elenchi Regionali e che tale divieto diverrà efficace solo a seguito di pubblicazione del decreto in oggetto.</w:t>
      </w:r>
    </w:p>
    <w:p w:rsidR="00EF022B" w:rsidRDefault="00BB64D8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  <w:r>
        <w:rPr>
          <w:rFonts w:ascii="Bookman Old Style" w:hAnsi="Bookman Old Style" w:cs="Calibri"/>
          <w:color w:val="222222"/>
          <w:sz w:val="24"/>
          <w:szCs w:val="24"/>
        </w:rPr>
        <w:t xml:space="preserve">Si allega Atto della Conferenza Unificata. </w:t>
      </w:r>
    </w:p>
    <w:p w:rsidR="00BB64D8" w:rsidRDefault="00BB64D8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</w:p>
    <w:p w:rsidR="00BB64D8" w:rsidRPr="00BB64D8" w:rsidRDefault="00BB64D8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b/>
          <w:color w:val="222222"/>
          <w:sz w:val="24"/>
          <w:szCs w:val="24"/>
        </w:rPr>
      </w:pPr>
      <w:r w:rsidRPr="00BB64D8">
        <w:rPr>
          <w:rFonts w:ascii="Bookman Old Style" w:hAnsi="Bookman Old Style" w:cs="Calibri"/>
          <w:b/>
          <w:color w:val="222222"/>
          <w:sz w:val="24"/>
          <w:szCs w:val="24"/>
        </w:rPr>
        <w:t>Roma, 27 settembre 2017</w:t>
      </w:r>
    </w:p>
    <w:p w:rsidR="00BB64D8" w:rsidRDefault="00BB64D8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</w:p>
    <w:p w:rsidR="00BB64D8" w:rsidRDefault="00BB64D8" w:rsidP="00425A8A">
      <w:pPr>
        <w:widowControl w:val="0"/>
        <w:shd w:val="clear" w:color="auto" w:fill="FFFFFF"/>
        <w:spacing w:after="120" w:line="360" w:lineRule="auto"/>
        <w:jc w:val="both"/>
        <w:rPr>
          <w:rFonts w:ascii="Bookman Old Style" w:hAnsi="Bookman Old Style" w:cs="Calibri"/>
          <w:color w:val="222222"/>
          <w:sz w:val="24"/>
          <w:szCs w:val="24"/>
        </w:rPr>
      </w:pPr>
    </w:p>
    <w:sectPr w:rsidR="00BB64D8" w:rsidSect="00BF10E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E7" w:rsidRDefault="008C5CE7" w:rsidP="002C5CC5">
      <w:pPr>
        <w:spacing w:after="0" w:line="240" w:lineRule="auto"/>
      </w:pPr>
      <w:r>
        <w:separator/>
      </w:r>
    </w:p>
  </w:endnote>
  <w:endnote w:type="continuationSeparator" w:id="0">
    <w:p w:rsidR="008C5CE7" w:rsidRDefault="008C5CE7" w:rsidP="002C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9698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5D64E0" w:rsidRPr="00543EE6" w:rsidRDefault="00951089">
        <w:pPr>
          <w:pStyle w:val="Pidipagina"/>
          <w:jc w:val="center"/>
          <w:rPr>
            <w:rFonts w:ascii="Bookman Old Style" w:hAnsi="Bookman Old Style"/>
            <w:sz w:val="18"/>
            <w:szCs w:val="18"/>
          </w:rPr>
        </w:pPr>
        <w:r w:rsidRPr="00543EE6">
          <w:rPr>
            <w:rFonts w:ascii="Bookman Old Style" w:hAnsi="Bookman Old Style"/>
            <w:sz w:val="18"/>
            <w:szCs w:val="18"/>
          </w:rPr>
          <w:fldChar w:fldCharType="begin"/>
        </w:r>
        <w:r w:rsidR="005D64E0" w:rsidRPr="00543EE6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Pr="00543EE6">
          <w:rPr>
            <w:rFonts w:ascii="Bookman Old Style" w:hAnsi="Bookman Old Style"/>
            <w:sz w:val="18"/>
            <w:szCs w:val="18"/>
          </w:rPr>
          <w:fldChar w:fldCharType="separate"/>
        </w:r>
        <w:r w:rsidR="008E7CAD">
          <w:rPr>
            <w:rFonts w:ascii="Bookman Old Style" w:hAnsi="Bookman Old Style"/>
            <w:noProof/>
            <w:sz w:val="18"/>
            <w:szCs w:val="18"/>
          </w:rPr>
          <w:t>1</w:t>
        </w:r>
        <w:r w:rsidRPr="00543EE6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:rsidR="005D64E0" w:rsidRDefault="005D64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E7" w:rsidRDefault="008C5CE7" w:rsidP="002C5CC5">
      <w:pPr>
        <w:spacing w:after="0" w:line="240" w:lineRule="auto"/>
      </w:pPr>
      <w:r>
        <w:separator/>
      </w:r>
    </w:p>
  </w:footnote>
  <w:footnote w:type="continuationSeparator" w:id="0">
    <w:p w:rsidR="008C5CE7" w:rsidRDefault="008C5CE7" w:rsidP="002C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FF0"/>
    <w:multiLevelType w:val="hybridMultilevel"/>
    <w:tmpl w:val="10DC31B6"/>
    <w:lvl w:ilvl="0" w:tplc="65A876F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315"/>
    <w:multiLevelType w:val="hybridMultilevel"/>
    <w:tmpl w:val="0E3C8F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24B3"/>
    <w:multiLevelType w:val="hybridMultilevel"/>
    <w:tmpl w:val="1E0291CE"/>
    <w:lvl w:ilvl="0" w:tplc="0410000F">
      <w:start w:val="1"/>
      <w:numFmt w:val="decimal"/>
      <w:lvlText w:val="%1."/>
      <w:lvlJc w:val="left"/>
      <w:pPr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A3D7CCF"/>
    <w:multiLevelType w:val="hybridMultilevel"/>
    <w:tmpl w:val="D006F1AC"/>
    <w:lvl w:ilvl="0" w:tplc="D9427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1703"/>
    <w:multiLevelType w:val="hybridMultilevel"/>
    <w:tmpl w:val="4C7EF9B4"/>
    <w:lvl w:ilvl="0" w:tplc="3680431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7009C"/>
    <w:multiLevelType w:val="hybridMultilevel"/>
    <w:tmpl w:val="6CFC7D10"/>
    <w:lvl w:ilvl="0" w:tplc="D7AA3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41AC"/>
    <w:multiLevelType w:val="hybridMultilevel"/>
    <w:tmpl w:val="556A4A02"/>
    <w:lvl w:ilvl="0" w:tplc="D046C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A8B"/>
    <w:multiLevelType w:val="hybridMultilevel"/>
    <w:tmpl w:val="233C1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CBD"/>
    <w:multiLevelType w:val="hybridMultilevel"/>
    <w:tmpl w:val="7D825830"/>
    <w:lvl w:ilvl="0" w:tplc="B94C159C">
      <w:start w:val="1"/>
      <w:numFmt w:val="upperLetter"/>
      <w:lvlText w:val="%1)"/>
      <w:lvlJc w:val="left"/>
      <w:pPr>
        <w:ind w:left="2406" w:hanging="99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E6A"/>
    <w:rsid w:val="00015285"/>
    <w:rsid w:val="0001528E"/>
    <w:rsid w:val="00027BB2"/>
    <w:rsid w:val="0003110A"/>
    <w:rsid w:val="00034E21"/>
    <w:rsid w:val="000352A9"/>
    <w:rsid w:val="00047CBD"/>
    <w:rsid w:val="000812C3"/>
    <w:rsid w:val="0008145C"/>
    <w:rsid w:val="00085A34"/>
    <w:rsid w:val="000B7850"/>
    <w:rsid w:val="000E318E"/>
    <w:rsid w:val="000E37FC"/>
    <w:rsid w:val="00135016"/>
    <w:rsid w:val="001357B1"/>
    <w:rsid w:val="0016236B"/>
    <w:rsid w:val="00172ED0"/>
    <w:rsid w:val="00181377"/>
    <w:rsid w:val="001F259F"/>
    <w:rsid w:val="001F40D8"/>
    <w:rsid w:val="001F727D"/>
    <w:rsid w:val="0020443C"/>
    <w:rsid w:val="002059AF"/>
    <w:rsid w:val="002106A9"/>
    <w:rsid w:val="00210B8E"/>
    <w:rsid w:val="0021232A"/>
    <w:rsid w:val="0023674D"/>
    <w:rsid w:val="002934A2"/>
    <w:rsid w:val="002B0BDF"/>
    <w:rsid w:val="002B1C08"/>
    <w:rsid w:val="002C5CC5"/>
    <w:rsid w:val="00312A8A"/>
    <w:rsid w:val="00327CDC"/>
    <w:rsid w:val="0034060A"/>
    <w:rsid w:val="00341494"/>
    <w:rsid w:val="00342959"/>
    <w:rsid w:val="003531EB"/>
    <w:rsid w:val="00354580"/>
    <w:rsid w:val="00391B38"/>
    <w:rsid w:val="003A58F3"/>
    <w:rsid w:val="003B01F8"/>
    <w:rsid w:val="003B28A6"/>
    <w:rsid w:val="003C2F3E"/>
    <w:rsid w:val="003E540A"/>
    <w:rsid w:val="003F445F"/>
    <w:rsid w:val="00404163"/>
    <w:rsid w:val="004214E4"/>
    <w:rsid w:val="00425A8A"/>
    <w:rsid w:val="00440CCF"/>
    <w:rsid w:val="00457805"/>
    <w:rsid w:val="00462CD9"/>
    <w:rsid w:val="00463006"/>
    <w:rsid w:val="00492D07"/>
    <w:rsid w:val="00497876"/>
    <w:rsid w:val="004A3AD6"/>
    <w:rsid w:val="004B7925"/>
    <w:rsid w:val="004C51A0"/>
    <w:rsid w:val="004C6728"/>
    <w:rsid w:val="004F698B"/>
    <w:rsid w:val="00501F02"/>
    <w:rsid w:val="00505D94"/>
    <w:rsid w:val="00531075"/>
    <w:rsid w:val="0054127F"/>
    <w:rsid w:val="0054245E"/>
    <w:rsid w:val="00543C6E"/>
    <w:rsid w:val="00543EE6"/>
    <w:rsid w:val="00583C45"/>
    <w:rsid w:val="00591A46"/>
    <w:rsid w:val="005A4605"/>
    <w:rsid w:val="005B0BA6"/>
    <w:rsid w:val="005C1E59"/>
    <w:rsid w:val="005C5307"/>
    <w:rsid w:val="005D64E0"/>
    <w:rsid w:val="005D79A2"/>
    <w:rsid w:val="005E2479"/>
    <w:rsid w:val="005E7C0C"/>
    <w:rsid w:val="005F6F45"/>
    <w:rsid w:val="0060062D"/>
    <w:rsid w:val="006012F3"/>
    <w:rsid w:val="00601F7D"/>
    <w:rsid w:val="0060387F"/>
    <w:rsid w:val="006052F8"/>
    <w:rsid w:val="006211C2"/>
    <w:rsid w:val="0063078B"/>
    <w:rsid w:val="00640919"/>
    <w:rsid w:val="006560AF"/>
    <w:rsid w:val="00667C78"/>
    <w:rsid w:val="006848A1"/>
    <w:rsid w:val="0069192B"/>
    <w:rsid w:val="006E1500"/>
    <w:rsid w:val="006F10B8"/>
    <w:rsid w:val="00714DD8"/>
    <w:rsid w:val="007332BF"/>
    <w:rsid w:val="00735F91"/>
    <w:rsid w:val="00737A6C"/>
    <w:rsid w:val="00741F35"/>
    <w:rsid w:val="007440B9"/>
    <w:rsid w:val="00756C8D"/>
    <w:rsid w:val="00776805"/>
    <w:rsid w:val="007935FA"/>
    <w:rsid w:val="007C6F92"/>
    <w:rsid w:val="007C7528"/>
    <w:rsid w:val="007D586F"/>
    <w:rsid w:val="007F06A2"/>
    <w:rsid w:val="007F0E7A"/>
    <w:rsid w:val="00801A35"/>
    <w:rsid w:val="00812A6C"/>
    <w:rsid w:val="0081755D"/>
    <w:rsid w:val="00866B0B"/>
    <w:rsid w:val="00892967"/>
    <w:rsid w:val="00892E54"/>
    <w:rsid w:val="00896E68"/>
    <w:rsid w:val="008A28EF"/>
    <w:rsid w:val="008B1B3F"/>
    <w:rsid w:val="008C5CE7"/>
    <w:rsid w:val="008E44CF"/>
    <w:rsid w:val="008E7CAD"/>
    <w:rsid w:val="00915257"/>
    <w:rsid w:val="00931458"/>
    <w:rsid w:val="0094045C"/>
    <w:rsid w:val="00951089"/>
    <w:rsid w:val="00956B67"/>
    <w:rsid w:val="00962200"/>
    <w:rsid w:val="009624E1"/>
    <w:rsid w:val="009625AA"/>
    <w:rsid w:val="009713FC"/>
    <w:rsid w:val="0098415F"/>
    <w:rsid w:val="009E7070"/>
    <w:rsid w:val="00A20890"/>
    <w:rsid w:val="00A35E8D"/>
    <w:rsid w:val="00A71658"/>
    <w:rsid w:val="00A774EC"/>
    <w:rsid w:val="00AC0F2C"/>
    <w:rsid w:val="00B03F34"/>
    <w:rsid w:val="00B10B0F"/>
    <w:rsid w:val="00B3127B"/>
    <w:rsid w:val="00B36676"/>
    <w:rsid w:val="00B970A3"/>
    <w:rsid w:val="00BB64D8"/>
    <w:rsid w:val="00BD08DC"/>
    <w:rsid w:val="00BF10E9"/>
    <w:rsid w:val="00C24CB2"/>
    <w:rsid w:val="00C25867"/>
    <w:rsid w:val="00C32DAC"/>
    <w:rsid w:val="00C52D65"/>
    <w:rsid w:val="00C52FA7"/>
    <w:rsid w:val="00C622BC"/>
    <w:rsid w:val="00C64F9A"/>
    <w:rsid w:val="00C66D26"/>
    <w:rsid w:val="00CA0AB0"/>
    <w:rsid w:val="00CD51C2"/>
    <w:rsid w:val="00CE1706"/>
    <w:rsid w:val="00CF2A6C"/>
    <w:rsid w:val="00D009E2"/>
    <w:rsid w:val="00D669FF"/>
    <w:rsid w:val="00D75847"/>
    <w:rsid w:val="00D83EB1"/>
    <w:rsid w:val="00D920E2"/>
    <w:rsid w:val="00DB1E6A"/>
    <w:rsid w:val="00DB4B73"/>
    <w:rsid w:val="00DB7F65"/>
    <w:rsid w:val="00DC0B5D"/>
    <w:rsid w:val="00DD4528"/>
    <w:rsid w:val="00DF3EA1"/>
    <w:rsid w:val="00E04733"/>
    <w:rsid w:val="00E2659B"/>
    <w:rsid w:val="00E32FA6"/>
    <w:rsid w:val="00E460FE"/>
    <w:rsid w:val="00E5435A"/>
    <w:rsid w:val="00E61C14"/>
    <w:rsid w:val="00E712A1"/>
    <w:rsid w:val="00E91E20"/>
    <w:rsid w:val="00E93C43"/>
    <w:rsid w:val="00EA5E08"/>
    <w:rsid w:val="00EC2045"/>
    <w:rsid w:val="00EC2B9E"/>
    <w:rsid w:val="00ED0501"/>
    <w:rsid w:val="00EE1768"/>
    <w:rsid w:val="00EE1E54"/>
    <w:rsid w:val="00EE4527"/>
    <w:rsid w:val="00EE6F5E"/>
    <w:rsid w:val="00EF022B"/>
    <w:rsid w:val="00F0346C"/>
    <w:rsid w:val="00F07AF0"/>
    <w:rsid w:val="00F10D1E"/>
    <w:rsid w:val="00F149E6"/>
    <w:rsid w:val="00F152AF"/>
    <w:rsid w:val="00F36621"/>
    <w:rsid w:val="00F437BD"/>
    <w:rsid w:val="00F67789"/>
    <w:rsid w:val="00F71152"/>
    <w:rsid w:val="00F812EE"/>
    <w:rsid w:val="00F956B9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E5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E54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5CC5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C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CC5"/>
    <w:rPr>
      <w:rFonts w:ascii="Calibri" w:eastAsia="Times New Roman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342959"/>
    <w:pPr>
      <w:suppressAutoHyphens w:val="0"/>
      <w:ind w:left="708"/>
    </w:pPr>
    <w:rPr>
      <w:rFonts w:eastAsia="Calibri"/>
      <w:lang w:eastAsia="en-US"/>
    </w:rPr>
  </w:style>
  <w:style w:type="paragraph" w:customStyle="1" w:styleId="Default">
    <w:name w:val="Default"/>
    <w:rsid w:val="00C3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C32DAC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44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445F"/>
    <w:rPr>
      <w:rFonts w:ascii="Calibri" w:eastAsia="Times New Roman" w:hAnsi="Calibri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44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1E5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B7F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DB7F65"/>
  </w:style>
  <w:style w:type="character" w:customStyle="1" w:styleId="provvvigore">
    <w:name w:val="provv_vigore"/>
    <w:basedOn w:val="Carpredefinitoparagrafo"/>
    <w:rsid w:val="00DB7F65"/>
  </w:style>
  <w:style w:type="paragraph" w:customStyle="1" w:styleId="provvr0">
    <w:name w:val="provv_r0"/>
    <w:basedOn w:val="Normale"/>
    <w:rsid w:val="00DB7F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B7F65"/>
  </w:style>
  <w:style w:type="character" w:customStyle="1" w:styleId="linkneltesto">
    <w:name w:val="link_nel_testo"/>
    <w:basedOn w:val="Carpredefinitoparagrafo"/>
    <w:rsid w:val="00DB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E5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E54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5CC5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C5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CC5"/>
    <w:rPr>
      <w:rFonts w:ascii="Calibri" w:eastAsia="Times New Roman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342959"/>
    <w:pPr>
      <w:suppressAutoHyphens w:val="0"/>
      <w:ind w:left="708"/>
    </w:pPr>
    <w:rPr>
      <w:rFonts w:eastAsia="Calibri"/>
      <w:lang w:eastAsia="en-US"/>
    </w:rPr>
  </w:style>
  <w:style w:type="paragraph" w:customStyle="1" w:styleId="Default">
    <w:name w:val="Default"/>
    <w:rsid w:val="00C3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C32DA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8AEF-1041-4CB4-9670-C0DBF7F6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segreterianci</cp:lastModifiedBy>
  <cp:revision>2</cp:revision>
  <dcterms:created xsi:type="dcterms:W3CDTF">2017-10-03T09:40:00Z</dcterms:created>
  <dcterms:modified xsi:type="dcterms:W3CDTF">2017-10-03T09:40:00Z</dcterms:modified>
</cp:coreProperties>
</file>